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84624">
      <w:pPr>
        <w:jc w:val="center"/>
        <w:rPr>
          <w:rFonts w:eastAsia="黑体" w:cs="宋体"/>
          <w:b/>
          <w:sz w:val="52"/>
          <w:szCs w:val="52"/>
          <w:highlight w:val="none"/>
        </w:rPr>
      </w:pPr>
    </w:p>
    <w:p w14:paraId="354043F1">
      <w:pPr>
        <w:jc w:val="center"/>
        <w:rPr>
          <w:rFonts w:eastAsia="黑体" w:cs="宋体"/>
          <w:b/>
          <w:sz w:val="52"/>
          <w:szCs w:val="52"/>
          <w:highlight w:val="none"/>
        </w:rPr>
      </w:pPr>
    </w:p>
    <w:p w14:paraId="071640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大标宋简体" w:hAnsi="方正大标宋简体" w:eastAsia="方正大标宋简体" w:cs="方正大标宋简体"/>
          <w:b w:val="0"/>
          <w:bCs/>
          <w:sz w:val="52"/>
          <w:szCs w:val="52"/>
          <w:highlight w:val="none"/>
        </w:rPr>
      </w:pPr>
    </w:p>
    <w:p w14:paraId="3CE7021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大标宋简体" w:hAnsi="方正大标宋简体" w:eastAsia="方正大标宋简体" w:cs="方正大标宋简体"/>
          <w:b w:val="0"/>
          <w:bCs/>
          <w:sz w:val="48"/>
          <w:szCs w:val="48"/>
          <w:highlight w:val="none"/>
        </w:rPr>
      </w:pPr>
      <w:r>
        <w:rPr>
          <w:rFonts w:hint="eastAsia" w:ascii="方正大标宋简体" w:hAnsi="方正大标宋简体" w:eastAsia="方正大标宋简体" w:cs="方正大标宋简体"/>
          <w:b w:val="0"/>
          <w:bCs/>
          <w:sz w:val="48"/>
          <w:szCs w:val="48"/>
          <w:highlight w:val="none"/>
        </w:rPr>
        <w:t>内蒙古自治区地方预决算公开</w:t>
      </w:r>
    </w:p>
    <w:p w14:paraId="25356EF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方正大标宋简体" w:hAnsi="方正大标宋简体" w:eastAsia="方正大标宋简体" w:cs="方正大标宋简体"/>
          <w:b w:val="0"/>
          <w:bCs/>
          <w:sz w:val="48"/>
          <w:szCs w:val="52"/>
          <w:highlight w:val="none"/>
          <w:lang w:eastAsia="zh-CN"/>
        </w:rPr>
      </w:pPr>
      <w:r>
        <w:rPr>
          <w:rFonts w:hint="eastAsia" w:ascii="方正大标宋简体" w:hAnsi="方正大标宋简体" w:eastAsia="方正大标宋简体" w:cs="方正大标宋简体"/>
          <w:b w:val="0"/>
          <w:bCs/>
          <w:sz w:val="48"/>
          <w:szCs w:val="48"/>
          <w:highlight w:val="none"/>
        </w:rPr>
        <w:t>操作指引</w:t>
      </w:r>
    </w:p>
    <w:p w14:paraId="23F6C116">
      <w:pPr>
        <w:jc w:val="center"/>
        <w:rPr>
          <w:rFonts w:eastAsia="黑体" w:cs="宋体"/>
          <w:b/>
          <w:sz w:val="52"/>
          <w:szCs w:val="52"/>
          <w:highlight w:val="none"/>
        </w:rPr>
      </w:pPr>
    </w:p>
    <w:p w14:paraId="1E4BEB20">
      <w:pPr>
        <w:jc w:val="center"/>
        <w:rPr>
          <w:rFonts w:eastAsia="黑体" w:cs="宋体"/>
          <w:b/>
          <w:sz w:val="52"/>
          <w:szCs w:val="52"/>
          <w:highlight w:val="none"/>
        </w:rPr>
      </w:pPr>
    </w:p>
    <w:p w14:paraId="1C437D49">
      <w:pPr>
        <w:jc w:val="center"/>
        <w:rPr>
          <w:rFonts w:eastAsia="黑体" w:cs="宋体"/>
          <w:b/>
          <w:sz w:val="52"/>
          <w:szCs w:val="52"/>
          <w:highlight w:val="none"/>
        </w:rPr>
      </w:pPr>
    </w:p>
    <w:p w14:paraId="0F170200">
      <w:pPr>
        <w:jc w:val="center"/>
        <w:rPr>
          <w:rFonts w:eastAsia="黑体" w:cs="宋体"/>
          <w:b/>
          <w:sz w:val="52"/>
          <w:szCs w:val="52"/>
          <w:highlight w:val="none"/>
        </w:rPr>
      </w:pPr>
    </w:p>
    <w:p w14:paraId="05EF4416">
      <w:pPr>
        <w:jc w:val="center"/>
        <w:rPr>
          <w:rFonts w:eastAsia="黑体" w:cs="宋体"/>
          <w:b/>
          <w:sz w:val="52"/>
          <w:szCs w:val="52"/>
          <w:highlight w:val="none"/>
        </w:rPr>
      </w:pPr>
    </w:p>
    <w:p w14:paraId="4D56E995">
      <w:pPr>
        <w:jc w:val="center"/>
        <w:rPr>
          <w:rFonts w:eastAsia="黑体" w:cs="宋体"/>
          <w:b/>
          <w:sz w:val="52"/>
          <w:szCs w:val="52"/>
          <w:highlight w:val="none"/>
        </w:rPr>
      </w:pPr>
    </w:p>
    <w:p w14:paraId="3C46C310">
      <w:pPr>
        <w:jc w:val="center"/>
        <w:rPr>
          <w:rFonts w:eastAsia="黑体" w:cs="宋体"/>
          <w:b/>
          <w:sz w:val="52"/>
          <w:szCs w:val="52"/>
          <w:highlight w:val="none"/>
        </w:rPr>
      </w:pPr>
    </w:p>
    <w:p w14:paraId="0A038C9C">
      <w:pPr>
        <w:jc w:val="center"/>
        <w:rPr>
          <w:rFonts w:eastAsia="黑体" w:cs="宋体"/>
          <w:b/>
          <w:sz w:val="52"/>
          <w:szCs w:val="52"/>
          <w:highlight w:val="none"/>
        </w:rPr>
      </w:pPr>
    </w:p>
    <w:p w14:paraId="66E5ECDC">
      <w:pPr>
        <w:jc w:val="center"/>
        <w:rPr>
          <w:rFonts w:eastAsia="黑体" w:cs="宋体"/>
          <w:b/>
          <w:sz w:val="52"/>
          <w:szCs w:val="52"/>
          <w:highlight w:val="none"/>
        </w:rPr>
      </w:pPr>
    </w:p>
    <w:p w14:paraId="1A75F6C6">
      <w:pPr>
        <w:jc w:val="center"/>
        <w:rPr>
          <w:rFonts w:eastAsia="黑体" w:cs="宋体"/>
          <w:b/>
          <w:sz w:val="52"/>
          <w:szCs w:val="52"/>
          <w:highlight w:val="none"/>
        </w:rPr>
      </w:pPr>
    </w:p>
    <w:p w14:paraId="20D7538C">
      <w:pPr>
        <w:jc w:val="center"/>
        <w:rPr>
          <w:rFonts w:eastAsia="黑体" w:cs="宋体"/>
          <w:b/>
          <w:sz w:val="52"/>
          <w:szCs w:val="52"/>
          <w:highlight w:val="none"/>
        </w:rPr>
      </w:pPr>
    </w:p>
    <w:p w14:paraId="0D33FFA9">
      <w:pPr>
        <w:pStyle w:val="16"/>
        <w:spacing w:before="0" w:after="0" w:line="600" w:lineRule="auto"/>
        <w:ind w:firstLine="960" w:firstLineChars="300"/>
        <w:jc w:val="left"/>
        <w:outlineLvl w:val="9"/>
        <w:rPr>
          <w:rFonts w:ascii="Times New Roman" w:hAnsi="Times New Roman" w:eastAsia="黑体" w:cs="Times New Roman (正文 CS 字体)"/>
          <w:b w:val="0"/>
          <w:bCs w:val="0"/>
          <w:kern w:val="2"/>
          <w:szCs w:val="52"/>
          <w:highlight w:val="none"/>
        </w:rPr>
      </w:pPr>
    </w:p>
    <w:p w14:paraId="3F94167B">
      <w:pPr>
        <w:rPr>
          <w:rFonts w:eastAsia="黑体" w:cs="Times New Roman (正文 CS 字体)"/>
          <w:szCs w:val="52"/>
          <w:highlight w:val="none"/>
        </w:rPr>
      </w:pPr>
    </w:p>
    <w:p w14:paraId="45B63567">
      <w:pPr>
        <w:rPr>
          <w:rFonts w:eastAsia="黑体" w:cs="Times New Roman (正文 CS 字体)"/>
          <w:szCs w:val="52"/>
          <w:highlight w:val="none"/>
        </w:rPr>
      </w:pPr>
    </w:p>
    <w:p w14:paraId="068A90A5">
      <w:pPr>
        <w:rPr>
          <w:rFonts w:eastAsia="仿宋"/>
          <w:sz w:val="32"/>
          <w:szCs w:val="32"/>
          <w:highlight w:val="none"/>
        </w:rPr>
      </w:pPr>
    </w:p>
    <w:p w14:paraId="15B6770B">
      <w:pPr>
        <w:jc w:val="center"/>
        <w:rPr>
          <w:rFonts w:eastAsia="仿宋"/>
          <w:sz w:val="32"/>
          <w:szCs w:val="32"/>
          <w:highlight w:val="none"/>
        </w:rPr>
      </w:pPr>
      <w:r>
        <w:rPr>
          <w:rFonts w:hint="eastAsia" w:eastAsia="仿宋"/>
          <w:sz w:val="32"/>
          <w:szCs w:val="32"/>
          <w:highlight w:val="none"/>
        </w:rPr>
        <w:t>2023年1月</w:t>
      </w:r>
    </w:p>
    <w:p w14:paraId="49EFA558">
      <w:pPr>
        <w:jc w:val="center"/>
        <w:rPr>
          <w:rFonts w:eastAsia="仿宋"/>
          <w:sz w:val="32"/>
          <w:szCs w:val="32"/>
          <w:highlight w:val="none"/>
        </w:rPr>
        <w:sectPr>
          <w:footerReference r:id="rId3" w:type="default"/>
          <w:pgSz w:w="11906" w:h="16838"/>
          <w:pgMar w:top="1440" w:right="1588" w:bottom="1440" w:left="1588" w:header="851" w:footer="992" w:gutter="0"/>
          <w:pgNumType w:fmt="numberInDash"/>
          <w:cols w:space="425" w:num="1"/>
          <w:docGrid w:type="lines" w:linePitch="312" w:charSpace="0"/>
        </w:sectPr>
      </w:pPr>
    </w:p>
    <w:p w14:paraId="0C6DB2D1">
      <w:pPr>
        <w:pStyle w:val="28"/>
        <w:rPr>
          <w:rFonts w:eastAsia="黑体"/>
          <w:b/>
          <w:sz w:val="36"/>
          <w:szCs w:val="36"/>
          <w:highlight w:val="none"/>
        </w:rPr>
      </w:pPr>
      <w:bookmarkStart w:id="0" w:name="_Hlk86773958"/>
      <w:r>
        <w:rPr>
          <w:rFonts w:hint="eastAsia" w:eastAsia="黑体"/>
          <w:b/>
          <w:sz w:val="36"/>
          <w:szCs w:val="36"/>
          <w:highlight w:val="none"/>
        </w:rPr>
        <w:t>目   录</w:t>
      </w:r>
    </w:p>
    <w:p w14:paraId="19218CB4">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eastAsia="黑体"/>
          <w:b w:val="0"/>
          <w:bCs/>
          <w:sz w:val="30"/>
          <w:szCs w:val="30"/>
          <w:highlight w:val="none"/>
        </w:rPr>
        <w:fldChar w:fldCharType="begin"/>
      </w:r>
      <w:r>
        <w:rPr>
          <w:rFonts w:hint="eastAsia" w:eastAsia="黑体"/>
          <w:b w:val="0"/>
          <w:bCs/>
          <w:sz w:val="30"/>
          <w:szCs w:val="30"/>
          <w:highlight w:val="none"/>
        </w:rPr>
        <w:instrText xml:space="preserve">TOC \o "1-2" \h \u </w:instrText>
      </w:r>
      <w:r>
        <w:rPr>
          <w:rFonts w:hint="eastAsia" w:eastAsia="黑体"/>
          <w:b w:val="0"/>
          <w:bCs/>
          <w:sz w:val="30"/>
          <w:szCs w:val="30"/>
          <w:highlight w:val="none"/>
        </w:rPr>
        <w:fldChar w:fldCharType="separate"/>
      </w: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_Toc1383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一、总   则</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_Toc1383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255A5186">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_Toc27103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二、预决算公开职责</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_Toc27103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55AC36E7">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_Toc397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三、预决算公开时间</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_Toc397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- 3 -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51150D3B">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_Toc7158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四、政府预决算公开内容</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_Toc7158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- 3 -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38F28824">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_Toc22098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五、部门（单位）预决算公开内容</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_Toc22098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4DCCEA86">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_Toc16549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六、预决算公开方式</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_Toc16549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- 9 -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1C50E652">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_Toc21219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七、涉密事项管理</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_Toc21219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- 9 -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33509F7C">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_Toc4150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八、监督考核管理</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_Toc4150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- 10 -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1FBE74E8">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_Toc1286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16"/>
          <w:highlight w:val="none"/>
        </w:rPr>
        <w:t>九、附   则</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_Toc1286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- 11 -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1F8A652E">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_Toc17776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附件1.年度部门（单位）预算公开模板</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_Toc17776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- 12 -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443B90F6">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_Toc30742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第一部分  部门（单位）概况</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_Toc30742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- 15 -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12A89FB0">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_Toc21288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第二部分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XX年度部门（单位）预算情况说明</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_Toc21288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- 16 -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12196C1A">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_Toc15573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第三部分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名词解释</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_Toc15573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- 25 -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65AC31F2">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_Toc21331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第四部分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预算公开联系方式及信息反馈渠道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_Toc21331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2712FEFD">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_Toc2232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第五部分  XX年度XX部门（单位）预算表</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_Toc2232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- 27 -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548D9BA8">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_Toc25503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附件2.年度部门（单位）决算公开模板</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_Toc25503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- 39 -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1C212FAE">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_Toc28822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第一部分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部门（单位）概况</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_Toc28822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- 42 -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52C23790">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_Toc990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第二部分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XX年度部门（单位）决算情况说明</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_Toc990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- 43 -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0FA3A3AB">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_Toc8682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6"/>
          <w:highlight w:val="none"/>
        </w:rPr>
        <w:t>第三部分</w:t>
      </w:r>
      <w:r>
        <w:rPr>
          <w:rFonts w:hint="eastAsia" w:ascii="仿宋_GB2312" w:hAnsi="仿宋_GB2312" w:eastAsia="仿宋_GB2312" w:cs="仿宋_GB2312"/>
          <w:szCs w:val="36"/>
          <w:highlight w:val="none"/>
          <w:lang w:val="en-US" w:eastAsia="zh-CN"/>
        </w:rPr>
        <w:t xml:space="preserve">  </w:t>
      </w:r>
      <w:r>
        <w:rPr>
          <w:rFonts w:hint="eastAsia" w:ascii="仿宋_GB2312" w:hAnsi="仿宋_GB2312" w:eastAsia="仿宋_GB2312" w:cs="仿宋_GB2312"/>
          <w:szCs w:val="36"/>
          <w:highlight w:val="none"/>
        </w:rPr>
        <w:t>名词解释</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_Toc8682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- 54 -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2696C180">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_Toc27853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第四部分</w:t>
      </w:r>
      <w:r>
        <w:rPr>
          <w:rFonts w:hint="eastAsia" w:ascii="仿宋_GB2312" w:hAnsi="仿宋_GB2312" w:eastAsia="仿宋_GB2312" w:cs="仿宋_GB2312"/>
          <w:bCs w:val="0"/>
          <w:szCs w:val="36"/>
          <w:highlight w:val="none"/>
          <w:lang w:val="en-US" w:eastAsia="zh-CN"/>
        </w:rPr>
        <w:t xml:space="preserve"> 决算</w:t>
      </w:r>
      <w:r>
        <w:rPr>
          <w:rFonts w:hint="eastAsia" w:ascii="仿宋_GB2312" w:hAnsi="仿宋_GB2312" w:eastAsia="仿宋_GB2312" w:cs="仿宋_GB2312"/>
          <w:bCs w:val="0"/>
          <w:szCs w:val="36"/>
          <w:highlight w:val="none"/>
        </w:rPr>
        <w:t>公开联系方式及信息反馈渠道</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_Toc27853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- 56 -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604FDAA2">
      <w:pPr>
        <w:pStyle w:val="17"/>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_Toc22275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bCs w:val="0"/>
          <w:szCs w:val="36"/>
          <w:highlight w:val="none"/>
        </w:rPr>
        <w:t>第</w:t>
      </w:r>
      <w:r>
        <w:rPr>
          <w:rFonts w:hint="eastAsia" w:ascii="仿宋_GB2312" w:hAnsi="仿宋_GB2312" w:eastAsia="仿宋_GB2312" w:cs="仿宋_GB2312"/>
          <w:bCs w:val="0"/>
          <w:szCs w:val="36"/>
          <w:highlight w:val="none"/>
          <w:lang w:val="en-US" w:eastAsia="zh-CN"/>
        </w:rPr>
        <w:t>五</w:t>
      </w:r>
      <w:r>
        <w:rPr>
          <w:rFonts w:hint="eastAsia" w:ascii="仿宋_GB2312" w:hAnsi="仿宋_GB2312" w:eastAsia="仿宋_GB2312" w:cs="仿宋_GB2312"/>
          <w:bCs w:val="0"/>
          <w:szCs w:val="36"/>
          <w:highlight w:val="none"/>
        </w:rPr>
        <w:t>部分</w:t>
      </w:r>
      <w:r>
        <w:rPr>
          <w:rFonts w:hint="eastAsia" w:ascii="仿宋_GB2312" w:hAnsi="仿宋_GB2312" w:eastAsia="仿宋_GB2312" w:cs="仿宋_GB2312"/>
          <w:bCs w:val="0"/>
          <w:szCs w:val="36"/>
          <w:highlight w:val="none"/>
          <w:lang w:val="en-US" w:eastAsia="zh-CN"/>
        </w:rPr>
        <w:t xml:space="preserve">  </w:t>
      </w:r>
      <w:r>
        <w:rPr>
          <w:rFonts w:hint="eastAsia" w:ascii="仿宋_GB2312" w:hAnsi="仿宋_GB2312" w:eastAsia="仿宋_GB2312" w:cs="仿宋_GB2312"/>
          <w:bCs w:val="0"/>
          <w:szCs w:val="36"/>
          <w:highlight w:val="none"/>
        </w:rPr>
        <w:t>XX部门（单位）XX年度部门决算表</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_Toc22275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- 57 -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06EAF4FB">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rFonts w:hint="eastAsia" w:ascii="仿宋_GB2312" w:hAnsi="仿宋_GB2312" w:eastAsia="仿宋_GB2312" w:cs="仿宋_GB2312"/>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_Toc18931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附件3.部门（单位）整体绩效目标</w:t>
      </w:r>
      <w:r>
        <w:rPr>
          <w:rFonts w:hint="eastAsia" w:ascii="仿宋_GB2312" w:hAnsi="仿宋_GB2312" w:eastAsia="仿宋_GB2312" w:cs="仿宋_GB2312"/>
          <w:szCs w:val="32"/>
          <w:highlight w:val="none"/>
          <w:lang w:val="en-US" w:eastAsia="zh-CN"/>
        </w:rPr>
        <w:t>表</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_Toc18931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- 70 -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0FBDA805">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before="0" w:line="540" w:lineRule="exact"/>
        <w:textAlignment w:val="auto"/>
        <w:rPr>
          <w:highlight w:val="none"/>
        </w:rPr>
      </w:pPr>
      <w:r>
        <w:rPr>
          <w:rFonts w:hint="eastAsia" w:ascii="仿宋_GB2312" w:hAnsi="仿宋_GB2312" w:eastAsia="仿宋_GB2312" w:cs="仿宋_GB2312"/>
          <w:bCs/>
          <w:szCs w:val="30"/>
          <w:highlight w:val="none"/>
        </w:rPr>
        <w:fldChar w:fldCharType="begin"/>
      </w:r>
      <w:r>
        <w:rPr>
          <w:rFonts w:hint="eastAsia" w:ascii="仿宋_GB2312" w:hAnsi="仿宋_GB2312" w:eastAsia="仿宋_GB2312" w:cs="仿宋_GB2312"/>
          <w:bCs/>
          <w:szCs w:val="30"/>
          <w:highlight w:val="none"/>
        </w:rPr>
        <w:instrText xml:space="preserve"> HYPERLINK \l _Toc26074 </w:instrText>
      </w:r>
      <w:r>
        <w:rPr>
          <w:rFonts w:hint="eastAsia" w:ascii="仿宋_GB2312" w:hAnsi="仿宋_GB2312" w:eastAsia="仿宋_GB2312" w:cs="仿宋_GB2312"/>
          <w:bCs/>
          <w:szCs w:val="30"/>
          <w:highlight w:val="none"/>
        </w:rPr>
        <w:fldChar w:fldCharType="separate"/>
      </w:r>
      <w:r>
        <w:rPr>
          <w:rFonts w:hint="eastAsia" w:ascii="仿宋_GB2312" w:hAnsi="仿宋_GB2312" w:eastAsia="仿宋_GB2312" w:cs="仿宋_GB2312"/>
          <w:szCs w:val="32"/>
          <w:highlight w:val="none"/>
        </w:rPr>
        <w:t>附件</w:t>
      </w:r>
      <w:r>
        <w:rPr>
          <w:rFonts w:hint="eastAsia" w:ascii="仿宋_GB2312" w:hAnsi="仿宋_GB2312" w:eastAsia="仿宋_GB2312" w:cs="仿宋_GB2312"/>
          <w:szCs w:val="32"/>
          <w:highlight w:val="none"/>
          <w:lang w:val="en-US" w:eastAsia="zh-CN"/>
        </w:rPr>
        <w:t>4</w:t>
      </w:r>
      <w:r>
        <w:rPr>
          <w:rFonts w:hint="eastAsia" w:ascii="仿宋_GB2312" w:hAnsi="仿宋_GB2312" w:eastAsia="仿宋_GB2312" w:cs="仿宋_GB2312"/>
          <w:szCs w:val="32"/>
          <w:highlight w:val="none"/>
        </w:rPr>
        <w:t>.</w:t>
      </w:r>
      <w:r>
        <w:rPr>
          <w:rFonts w:hint="eastAsia" w:ascii="仿宋_GB2312" w:hAnsi="仿宋_GB2312" w:eastAsia="仿宋_GB2312" w:cs="仿宋_GB2312"/>
          <w:szCs w:val="32"/>
          <w:highlight w:val="none"/>
          <w:lang w:val="en-US" w:eastAsia="zh-CN"/>
        </w:rPr>
        <w:t>部门（单位）</w:t>
      </w:r>
      <w:r>
        <w:rPr>
          <w:rFonts w:hint="eastAsia" w:ascii="仿宋_GB2312" w:hAnsi="仿宋_GB2312" w:eastAsia="仿宋_GB2312" w:cs="仿宋_GB2312"/>
          <w:szCs w:val="32"/>
          <w:highlight w:val="none"/>
        </w:rPr>
        <w:t>项目支出绩效自评表</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szCs w:val="32"/>
          <w:highlight w:val="none"/>
          <w:lang w:val="en-US" w:eastAsia="zh-CN"/>
        </w:rPr>
        <w:t>参考</w:t>
      </w:r>
      <w:r>
        <w:rPr>
          <w:rFonts w:hint="eastAsia" w:ascii="仿宋_GB2312" w:hAnsi="仿宋_GB2312" w:eastAsia="仿宋_GB2312" w:cs="仿宋_GB2312"/>
          <w:szCs w:val="32"/>
          <w:highlight w:val="none"/>
          <w:lang w:eastAsia="zh-CN"/>
        </w:rPr>
        <w:t>）</w:t>
      </w:r>
      <w:r>
        <w:rPr>
          <w:rFonts w:hint="eastAsia" w:ascii="仿宋_GB2312" w:hAnsi="仿宋_GB2312" w:eastAsia="仿宋_GB2312" w:cs="仿宋_GB2312"/>
          <w:highlight w:val="none"/>
        </w:rPr>
        <w:tab/>
      </w:r>
      <w:r>
        <w:rPr>
          <w:rFonts w:hint="eastAsia" w:ascii="仿宋_GB2312" w:hAnsi="仿宋_GB2312" w:eastAsia="仿宋_GB2312" w:cs="仿宋_GB2312"/>
          <w:highlight w:val="none"/>
        </w:rPr>
        <w:fldChar w:fldCharType="begin"/>
      </w:r>
      <w:r>
        <w:rPr>
          <w:rFonts w:hint="eastAsia" w:ascii="仿宋_GB2312" w:hAnsi="仿宋_GB2312" w:eastAsia="仿宋_GB2312" w:cs="仿宋_GB2312"/>
          <w:highlight w:val="none"/>
        </w:rPr>
        <w:instrText xml:space="preserve"> PAGEREF _Toc26074 \h </w:instrText>
      </w:r>
      <w:r>
        <w:rPr>
          <w:rFonts w:hint="eastAsia" w:ascii="仿宋_GB2312" w:hAnsi="仿宋_GB2312" w:eastAsia="仿宋_GB2312" w:cs="仿宋_GB2312"/>
          <w:highlight w:val="none"/>
        </w:rPr>
        <w:fldChar w:fldCharType="separate"/>
      </w:r>
      <w:r>
        <w:rPr>
          <w:rFonts w:hint="eastAsia" w:ascii="仿宋_GB2312" w:hAnsi="仿宋_GB2312" w:eastAsia="仿宋_GB2312" w:cs="仿宋_GB2312"/>
          <w:highlight w:val="none"/>
        </w:rPr>
        <w:t>- 71 -</w:t>
      </w:r>
      <w:r>
        <w:rPr>
          <w:rFonts w:hint="eastAsia" w:ascii="仿宋_GB2312" w:hAnsi="仿宋_GB2312" w:eastAsia="仿宋_GB2312" w:cs="仿宋_GB2312"/>
          <w:highlight w:val="none"/>
        </w:rPr>
        <w:fldChar w:fldCharType="end"/>
      </w:r>
      <w:r>
        <w:rPr>
          <w:rFonts w:hint="eastAsia" w:ascii="仿宋_GB2312" w:hAnsi="仿宋_GB2312" w:eastAsia="仿宋_GB2312" w:cs="仿宋_GB2312"/>
          <w:bCs/>
          <w:szCs w:val="30"/>
          <w:highlight w:val="none"/>
        </w:rPr>
        <w:fldChar w:fldCharType="end"/>
      </w:r>
    </w:p>
    <w:p w14:paraId="57081B7F">
      <w:pPr>
        <w:pStyle w:val="15"/>
        <w:keepNext w:val="0"/>
        <w:keepLines w:val="0"/>
        <w:pageBreakBefore w:val="0"/>
        <w:widowControl w:val="0"/>
        <w:tabs>
          <w:tab w:val="right" w:leader="dot" w:pos="9040"/>
          <w:tab w:val="clear" w:pos="8714"/>
        </w:tabs>
        <w:kinsoku/>
        <w:wordWrap/>
        <w:overflowPunct/>
        <w:topLinePunct w:val="0"/>
        <w:autoSpaceDE/>
        <w:autoSpaceDN/>
        <w:bidi w:val="0"/>
        <w:adjustRightInd/>
        <w:snapToGrid/>
        <w:spacing w:line="480" w:lineRule="exact"/>
        <w:ind w:left="420"/>
        <w:textAlignment w:val="auto"/>
        <w:rPr>
          <w:rFonts w:eastAsia="黑体"/>
          <w:b/>
          <w:sz w:val="36"/>
          <w:szCs w:val="36"/>
          <w:highlight w:val="none"/>
        </w:rPr>
      </w:pPr>
      <w:r>
        <w:rPr>
          <w:rFonts w:hint="eastAsia" w:eastAsia="黑体"/>
          <w:bCs/>
          <w:szCs w:val="30"/>
          <w:highlight w:val="none"/>
        </w:rPr>
        <w:fldChar w:fldCharType="end"/>
      </w:r>
    </w:p>
    <w:bookmarkEnd w:id="0"/>
    <w:p w14:paraId="4B7B040C">
      <w:pPr>
        <w:adjustRightInd w:val="0"/>
        <w:snapToGrid w:val="0"/>
        <w:spacing w:before="120" w:beforeLines="50" w:after="120" w:afterLines="50" w:line="360" w:lineRule="auto"/>
        <w:jc w:val="center"/>
        <w:rPr>
          <w:rFonts w:eastAsia="黑体" w:cstheme="minorBidi"/>
          <w:b/>
          <w:bCs/>
          <w:sz w:val="40"/>
          <w:szCs w:val="40"/>
          <w:highlight w:val="none"/>
        </w:rPr>
        <w:sectPr>
          <w:headerReference r:id="rId4" w:type="default"/>
          <w:footerReference r:id="rId5" w:type="default"/>
          <w:pgSz w:w="11910" w:h="16840"/>
          <w:pgMar w:top="1580" w:right="1370" w:bottom="280" w:left="1500" w:header="720" w:footer="720" w:gutter="0"/>
          <w:pgNumType w:fmt="numberInDash"/>
          <w:cols w:space="720" w:num="1"/>
        </w:sectPr>
      </w:pPr>
    </w:p>
    <w:p w14:paraId="3D7E8A8D">
      <w:pPr>
        <w:pStyle w:val="2"/>
        <w:rPr>
          <w:rFonts w:hint="default" w:eastAsia="宋体"/>
          <w:highlight w:val="none"/>
          <w:lang w:val="en-US" w:eastAsia="zh-CN"/>
        </w:rPr>
      </w:pPr>
    </w:p>
    <w:p w14:paraId="0A91CCDC">
      <w:pPr>
        <w:adjustRightInd w:val="0"/>
        <w:snapToGrid w:val="0"/>
        <w:spacing w:before="120" w:beforeLines="50" w:after="120" w:afterLines="50" w:line="360" w:lineRule="auto"/>
        <w:jc w:val="center"/>
        <w:rPr>
          <w:rFonts w:hint="eastAsia" w:ascii="方正大标宋简体" w:hAnsi="方正大标宋简体" w:eastAsia="方正大标宋简体" w:cs="方正大标宋简体"/>
          <w:b w:val="0"/>
          <w:bCs w:val="0"/>
          <w:sz w:val="36"/>
          <w:szCs w:val="36"/>
          <w:highlight w:val="none"/>
        </w:rPr>
      </w:pPr>
      <w:r>
        <w:rPr>
          <w:rFonts w:hint="eastAsia" w:ascii="方正大标宋简体" w:hAnsi="方正大标宋简体" w:eastAsia="方正大标宋简体" w:cs="方正大标宋简体"/>
          <w:b w:val="0"/>
          <w:bCs w:val="0"/>
          <w:sz w:val="40"/>
          <w:szCs w:val="40"/>
          <w:highlight w:val="none"/>
        </w:rPr>
        <w:t>内蒙古自治区地方预决算公开操作指引</w:t>
      </w:r>
    </w:p>
    <w:p w14:paraId="011D7686">
      <w:pPr>
        <w:pStyle w:val="4"/>
        <w:adjustRightInd w:val="0"/>
        <w:snapToGrid w:val="0"/>
        <w:spacing w:before="0" w:after="0" w:line="416" w:lineRule="auto"/>
        <w:jc w:val="center"/>
        <w:rPr>
          <w:rFonts w:hint="eastAsia" w:ascii="黑体" w:hAnsi="黑体" w:eastAsia="黑体" w:cs="黑体"/>
          <w:sz w:val="32"/>
          <w:szCs w:val="24"/>
          <w:highlight w:val="none"/>
        </w:rPr>
      </w:pPr>
      <w:bookmarkStart w:id="1" w:name="_Toc87865104"/>
      <w:bookmarkStart w:id="2" w:name="_Toc1383"/>
      <w:r>
        <w:rPr>
          <w:rFonts w:hint="eastAsia" w:ascii="黑体" w:hAnsi="黑体" w:eastAsia="黑体" w:cs="黑体"/>
          <w:sz w:val="32"/>
          <w:szCs w:val="16"/>
          <w:highlight w:val="none"/>
        </w:rPr>
        <w:t>一、</w:t>
      </w:r>
      <w:bookmarkEnd w:id="1"/>
      <w:r>
        <w:rPr>
          <w:rFonts w:hint="eastAsia" w:ascii="黑体" w:hAnsi="黑体" w:eastAsia="黑体" w:cs="黑体"/>
          <w:sz w:val="32"/>
          <w:szCs w:val="16"/>
          <w:highlight w:val="none"/>
        </w:rPr>
        <w:t>总   则</w:t>
      </w:r>
      <w:bookmarkEnd w:id="2"/>
    </w:p>
    <w:p w14:paraId="5001821A">
      <w:pPr>
        <w:adjustRightInd w:val="0"/>
        <w:snapToGrid w:val="0"/>
        <w:spacing w:before="240" w:beforeLines="100"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第一条 预决算公开是贯彻落实党的十九大关于建立全面规范透明、标准科学、约束有力的预算制度</w:t>
      </w:r>
      <w:r>
        <w:rPr>
          <w:rFonts w:hint="eastAsia" w:ascii="Times New Roman" w:hAnsi="Times New Roman" w:eastAsia="仿宋_GB2312"/>
          <w:sz w:val="32"/>
          <w:szCs w:val="32"/>
          <w:highlight w:val="none"/>
          <w:lang w:val="en-US" w:eastAsia="zh-CN"/>
        </w:rPr>
        <w:t>部署</w:t>
      </w:r>
      <w:r>
        <w:rPr>
          <w:rFonts w:hint="eastAsia" w:ascii="Times New Roman" w:hAnsi="Times New Roman" w:eastAsia="仿宋_GB2312"/>
          <w:sz w:val="32"/>
          <w:szCs w:val="32"/>
          <w:highlight w:val="none"/>
        </w:rPr>
        <w:t>的重要举措，是预算管理制度改革的核心要求，是实现国家治理体系和治理能力现代化的重要推动力。根据《中华人民共和国预算法》《中华人民共和国政府信息公开条例》《财政部关于印发&lt;地方预决算公开操作规程&gt;的通知》（财预</w:t>
      </w:r>
      <w:r>
        <w:rPr>
          <w:rFonts w:hint="eastAsia" w:ascii="宋体" w:hAnsi="宋体" w:eastAsia="仿宋_GB2312"/>
          <w:sz w:val="32"/>
          <w:szCs w:val="32"/>
          <w:highlight w:val="none"/>
          <w:lang w:eastAsia="zh-CN"/>
        </w:rPr>
        <w:t>〔</w:t>
      </w:r>
      <w:r>
        <w:rPr>
          <w:rFonts w:ascii="Times New Roman" w:hAnsi="Times New Roman" w:eastAsia="仿宋_GB2312"/>
          <w:sz w:val="32"/>
          <w:szCs w:val="32"/>
          <w:highlight w:val="none"/>
        </w:rPr>
        <w:t>201</w:t>
      </w:r>
      <w:r>
        <w:rPr>
          <w:rFonts w:hint="eastAsia" w:ascii="Times New Roman" w:hAnsi="Times New Roman" w:eastAsia="仿宋_GB2312"/>
          <w:sz w:val="32"/>
          <w:szCs w:val="32"/>
          <w:highlight w:val="none"/>
        </w:rPr>
        <w:t>6</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143号）《财政部办公厅关于印发&lt;财政预决算领域基层政务公开标准指引&gt;的通知》（财办发</w:t>
      </w:r>
      <w:r>
        <w:rPr>
          <w:rFonts w:hint="eastAsia" w:ascii="宋体" w:hAnsi="宋体" w:eastAsia="仿宋_GB2312"/>
          <w:sz w:val="32"/>
          <w:szCs w:val="32"/>
          <w:highlight w:val="none"/>
          <w:lang w:eastAsia="zh-CN"/>
        </w:rPr>
        <w:t>〔</w:t>
      </w:r>
      <w:r>
        <w:rPr>
          <w:rFonts w:ascii="Times New Roman" w:hAnsi="Times New Roman" w:eastAsia="仿宋_GB2312"/>
          <w:sz w:val="32"/>
          <w:szCs w:val="32"/>
          <w:highlight w:val="none"/>
        </w:rPr>
        <w:t>201</w:t>
      </w:r>
      <w:r>
        <w:rPr>
          <w:rFonts w:hint="eastAsia" w:ascii="Times New Roman" w:hAnsi="Times New Roman" w:eastAsia="仿宋_GB2312"/>
          <w:sz w:val="32"/>
          <w:szCs w:val="32"/>
          <w:highlight w:val="none"/>
        </w:rPr>
        <w:t>9</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77号）《财政部关于推进部门所属单位预算公开工作的指导意见》（财预</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2021</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29号）《财政部关于印发&lt;部门决算管理办法&gt;的通知》（财库</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2021</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36号）《国务院办公厅关于新形势下进一步加强督查激励的通知》（国办发</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2021</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49号）《内蒙古自治区财政厅关于进一步加强预决算信息公开工作的通知》（内财监</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2022</w:t>
      </w:r>
      <w:r>
        <w:rPr>
          <w:rFonts w:hint="eastAsia" w:ascii="宋体" w:hAnsi="宋体" w:eastAsia="仿宋_GB2312"/>
          <w:sz w:val="32"/>
          <w:szCs w:val="32"/>
          <w:highlight w:val="none"/>
          <w:lang w:eastAsia="zh-CN"/>
        </w:rPr>
        <w:t>〕</w:t>
      </w:r>
      <w:r>
        <w:rPr>
          <w:rFonts w:hint="eastAsia" w:ascii="Times New Roman" w:hAnsi="Times New Roman" w:eastAsia="仿宋_GB2312"/>
          <w:sz w:val="32"/>
          <w:szCs w:val="32"/>
          <w:highlight w:val="none"/>
        </w:rPr>
        <w:t>55号）等法律法规规定及文件要求，为进一步提升预决算信息公开质量，制定本指引。</w:t>
      </w:r>
    </w:p>
    <w:p w14:paraId="77032C59">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第二条 本指引所称地方预决算，是指经自治区地方各级人民代表大会或其常务委员会批准的预算、预算调整、决算、预算执行情况的报告及报表（以下简称政府预决算）；经自治区地方各级</w:t>
      </w:r>
      <w:r>
        <w:rPr>
          <w:rFonts w:hint="eastAsia" w:ascii="Times New Roman" w:hAnsi="Times New Roman" w:eastAsia="仿宋_GB2312"/>
          <w:sz w:val="32"/>
          <w:szCs w:val="32"/>
          <w:highlight w:val="none"/>
          <w:lang w:val="en-US" w:eastAsia="zh-CN"/>
        </w:rPr>
        <w:t>人民</w:t>
      </w:r>
      <w:r>
        <w:rPr>
          <w:rFonts w:hint="eastAsia" w:ascii="Times New Roman" w:hAnsi="Times New Roman" w:eastAsia="仿宋_GB2312"/>
          <w:sz w:val="32"/>
          <w:szCs w:val="32"/>
          <w:highlight w:val="none"/>
        </w:rPr>
        <w:t>政府财政部门批复的部门预算、决算及报表（以下简称部门预决算）；经主管部门批复的部门所属单位预算、决算及报表（以下简称单位预决算）。</w:t>
      </w:r>
    </w:p>
    <w:p w14:paraId="00CFDB12">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第三条 地方预决算公开的原则是：坚持以公开为常态，不公开为例外，除涉及国家秘密的信息外，政府预决算、部门及所属单位预决算都应当依法主动公开。坚持以公开促改革，以预决算公开为抓手，促进财税体制改革，为实现国家治理体系和治理能力现代化打好基础。</w:t>
      </w:r>
    </w:p>
    <w:p w14:paraId="17CE6F1D">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第四条 地方预决算公开的基本要求是：公开及时，内容准确，形式规范。坚持问题导向，重视公开时效，聚焦社会热点，回应公众关切，方便社会监督，公开内容让公众找得着、看得懂、能监督。</w:t>
      </w:r>
    </w:p>
    <w:p w14:paraId="199AE458">
      <w:pPr>
        <w:pStyle w:val="4"/>
        <w:adjustRightInd w:val="0"/>
        <w:snapToGrid w:val="0"/>
        <w:spacing w:before="0" w:after="0" w:line="416" w:lineRule="auto"/>
        <w:jc w:val="center"/>
        <w:rPr>
          <w:rFonts w:hint="eastAsia" w:ascii="黑体" w:hAnsi="黑体" w:eastAsia="黑体" w:cs="黑体"/>
          <w:sz w:val="32"/>
          <w:szCs w:val="16"/>
          <w:highlight w:val="none"/>
        </w:rPr>
      </w:pPr>
      <w:bookmarkStart w:id="3" w:name="_Toc27103"/>
      <w:r>
        <w:rPr>
          <w:rFonts w:hint="eastAsia" w:ascii="黑体" w:hAnsi="黑体" w:eastAsia="黑体" w:cs="黑体"/>
          <w:sz w:val="32"/>
          <w:szCs w:val="16"/>
          <w:highlight w:val="none"/>
        </w:rPr>
        <w:t>二、预决算公开职责</w:t>
      </w:r>
      <w:bookmarkEnd w:id="3"/>
    </w:p>
    <w:p w14:paraId="519AFAB0">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第五条 自治区各级人民政府财政部门在本级政府领导下，组织开展本地区政府预决算公开工作</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制定本地区预决算公开相关制度，负责管理和推进本地区政府预决算公开工作</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指导和督促本级各预算部门和下级财政部门预决算公开工作</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向本级政府和上一级政府财政部门报告本地区预决算公开工作开展情况。</w:t>
      </w:r>
    </w:p>
    <w:p w14:paraId="1DA6079E">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第六条 自治区各级预算主管部门负责组织开展本部门预决算公开工作，制定本部门预决算公开的规定，负责向社会公开本部门及所属单位的汇总预决算，组织和推动本部门及所属单位预决算公开工作，向本级政府信息公开工作主管部门和本级政府财政部门报送本部门及所属单位预决算公开情况。</w:t>
      </w:r>
    </w:p>
    <w:p w14:paraId="2BE2E8DD">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第七条 部门所属单位（含部门本级）负责公开本单位预决算信息。</w:t>
      </w:r>
    </w:p>
    <w:p w14:paraId="3CC4CB15">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第八条 自治区各级财政部门、主管部门及所属单位要树立依法公开观念，增强主动公开意识，切实履行主动公开责任</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加强沟通合作，相互配合，共同推进本地区预决算公开工作。</w:t>
      </w:r>
    </w:p>
    <w:p w14:paraId="74D746DF">
      <w:pPr>
        <w:pStyle w:val="4"/>
        <w:adjustRightInd w:val="0"/>
        <w:snapToGrid w:val="0"/>
        <w:spacing w:before="0" w:after="0" w:line="416" w:lineRule="auto"/>
        <w:jc w:val="center"/>
        <w:rPr>
          <w:rFonts w:hint="eastAsia" w:ascii="黑体" w:hAnsi="黑体" w:eastAsia="黑体" w:cs="黑体"/>
          <w:sz w:val="32"/>
          <w:szCs w:val="16"/>
          <w:highlight w:val="none"/>
        </w:rPr>
      </w:pPr>
      <w:bookmarkStart w:id="4" w:name="_Toc397"/>
      <w:r>
        <w:rPr>
          <w:rFonts w:hint="eastAsia" w:ascii="黑体" w:hAnsi="黑体" w:eastAsia="黑体" w:cs="黑体"/>
          <w:sz w:val="32"/>
          <w:szCs w:val="16"/>
          <w:highlight w:val="none"/>
        </w:rPr>
        <w:t>三、预决算公开时间</w:t>
      </w:r>
      <w:bookmarkEnd w:id="4"/>
    </w:p>
    <w:p w14:paraId="07740AC8">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第九条 政府预决算公开</w:t>
      </w:r>
      <w:r>
        <w:rPr>
          <w:rFonts w:hint="eastAsia" w:ascii="Times New Roman" w:hAnsi="Times New Roman" w:eastAsia="仿宋_GB2312"/>
          <w:sz w:val="32"/>
          <w:szCs w:val="32"/>
          <w:highlight w:val="none"/>
          <w:lang w:val="en-US" w:eastAsia="zh-CN"/>
        </w:rPr>
        <w:t>时间</w:t>
      </w:r>
      <w:r>
        <w:rPr>
          <w:rFonts w:hint="eastAsia" w:ascii="Times New Roman" w:hAnsi="Times New Roman" w:eastAsia="仿宋_GB2312"/>
          <w:sz w:val="32"/>
          <w:szCs w:val="32"/>
          <w:highlight w:val="none"/>
        </w:rPr>
        <w:t>。经本级人民代表大会或其常务委员会批准的预算、预算调整、决算、预算执行情况的报告及报表，应当在批准后二十日（自然日）内由本级政府财政部门向社会公开。</w:t>
      </w:r>
    </w:p>
    <w:p w14:paraId="1ECF192B">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第十条 部门预决算公开</w:t>
      </w:r>
      <w:r>
        <w:rPr>
          <w:rFonts w:hint="eastAsia" w:ascii="Times New Roman" w:hAnsi="Times New Roman" w:eastAsia="仿宋_GB2312"/>
          <w:sz w:val="32"/>
          <w:szCs w:val="32"/>
          <w:highlight w:val="none"/>
          <w:lang w:val="en-US" w:eastAsia="zh-CN"/>
        </w:rPr>
        <w:t>时间</w:t>
      </w:r>
      <w:r>
        <w:rPr>
          <w:rFonts w:hint="eastAsia" w:ascii="Times New Roman" w:hAnsi="Times New Roman" w:eastAsia="仿宋_GB2312"/>
          <w:sz w:val="32"/>
          <w:szCs w:val="32"/>
          <w:highlight w:val="none"/>
        </w:rPr>
        <w:t>。经本级政府财政部门批复的部门预算、决算及报表，应当在批复后二十日（自然日）内由部门向社会公开，鼓励公开时间适当提前，原则上在同一天集中公开。</w:t>
      </w:r>
    </w:p>
    <w:p w14:paraId="28ADCCEE">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第十一条 单位预决算公开</w:t>
      </w:r>
      <w:r>
        <w:rPr>
          <w:rFonts w:hint="eastAsia" w:ascii="Times New Roman" w:hAnsi="Times New Roman" w:eastAsia="仿宋_GB2312"/>
          <w:sz w:val="32"/>
          <w:szCs w:val="32"/>
          <w:highlight w:val="none"/>
          <w:lang w:val="en-US" w:eastAsia="zh-CN"/>
        </w:rPr>
        <w:t>时间</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各级</w:t>
      </w:r>
      <w:r>
        <w:rPr>
          <w:rFonts w:hint="eastAsia" w:ascii="Times New Roman" w:hAnsi="Times New Roman" w:eastAsia="仿宋_GB2312"/>
          <w:sz w:val="32"/>
          <w:szCs w:val="32"/>
          <w:highlight w:val="none"/>
        </w:rPr>
        <w:t>主管部门</w:t>
      </w:r>
      <w:r>
        <w:rPr>
          <w:rFonts w:hint="eastAsia" w:ascii="Times New Roman" w:hAnsi="Times New Roman" w:eastAsia="仿宋_GB2312"/>
          <w:sz w:val="32"/>
          <w:szCs w:val="32"/>
          <w:highlight w:val="none"/>
          <w:lang w:val="en-US" w:eastAsia="zh-CN"/>
        </w:rPr>
        <w:t>应当在接到本级政府财政部门批复的本部门预决算后十五日</w:t>
      </w:r>
      <w:r>
        <w:rPr>
          <w:rFonts w:hint="eastAsia" w:ascii="Times New Roman" w:hAnsi="Times New Roman" w:eastAsia="仿宋_GB2312"/>
          <w:sz w:val="32"/>
          <w:szCs w:val="32"/>
          <w:highlight w:val="none"/>
        </w:rPr>
        <w:t>（自然日）</w:t>
      </w:r>
      <w:r>
        <w:rPr>
          <w:rFonts w:hint="eastAsia" w:ascii="Times New Roman" w:hAnsi="Times New Roman" w:eastAsia="仿宋_GB2312"/>
          <w:sz w:val="32"/>
          <w:szCs w:val="32"/>
          <w:highlight w:val="none"/>
          <w:lang w:val="en-US" w:eastAsia="zh-CN"/>
        </w:rPr>
        <w:t>内</w:t>
      </w:r>
      <w:r>
        <w:rPr>
          <w:rFonts w:hint="eastAsia" w:ascii="Times New Roman" w:hAnsi="Times New Roman" w:eastAsia="仿宋_GB2312"/>
          <w:sz w:val="32"/>
          <w:szCs w:val="32"/>
          <w:highlight w:val="none"/>
        </w:rPr>
        <w:t>批复部门所属单位预算、决算及报表</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经主管部门批复的部门所属单位预算、决算及报表</w:t>
      </w:r>
      <w:r>
        <w:rPr>
          <w:rFonts w:hint="eastAsia" w:ascii="Times New Roman" w:hAnsi="Times New Roman" w:eastAsia="仿宋_GB2312"/>
          <w:sz w:val="32"/>
          <w:szCs w:val="32"/>
          <w:highlight w:val="none"/>
        </w:rPr>
        <w:t>应当在批复后二十日（自然日）内由单位向社会公开，鼓励公开时间适当提前，原则上与主管部门在同一天集中公开。</w:t>
      </w:r>
    </w:p>
    <w:p w14:paraId="0CCA266A">
      <w:pPr>
        <w:pStyle w:val="4"/>
        <w:adjustRightInd w:val="0"/>
        <w:snapToGrid w:val="0"/>
        <w:spacing w:before="0" w:after="0" w:line="416" w:lineRule="auto"/>
        <w:jc w:val="center"/>
        <w:rPr>
          <w:rFonts w:hint="eastAsia" w:ascii="黑体" w:hAnsi="黑体" w:eastAsia="黑体" w:cs="黑体"/>
          <w:sz w:val="32"/>
          <w:szCs w:val="16"/>
          <w:highlight w:val="none"/>
        </w:rPr>
      </w:pPr>
      <w:bookmarkStart w:id="5" w:name="_Toc7158"/>
      <w:r>
        <w:rPr>
          <w:rFonts w:hint="eastAsia" w:ascii="黑体" w:hAnsi="黑体" w:eastAsia="黑体" w:cs="黑体"/>
          <w:sz w:val="32"/>
          <w:szCs w:val="16"/>
          <w:highlight w:val="none"/>
        </w:rPr>
        <w:t>四、政府预决算公开内容</w:t>
      </w:r>
      <w:bookmarkEnd w:id="5"/>
    </w:p>
    <w:p w14:paraId="3AD21C4B">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第十二条 政府预决算应当公开政府预决算报告。</w:t>
      </w:r>
    </w:p>
    <w:p w14:paraId="4055E726">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第十三条 政府预决算报表。具体要求：</w:t>
      </w:r>
    </w:p>
    <w:p w14:paraId="501C913C">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（一）各级财政（为全辖概念，包含下级财政）收支预决算情况包括一般公共预算、政府性基金预算、国有资本经营预算和社会保险基金预算。以上四本预算收入表和支出表应单独制作公开，不得合并公开。</w:t>
      </w:r>
    </w:p>
    <w:p w14:paraId="5DC8DF19">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二）本级财政（不包括下级财政）收支预决算情况包括一般公共预算、政府性基金预算、国有资本经营预算和社会保险基金预算。以上四本预算收入表和支出表应单独制作公开，不得合并公开。一般公共预算、政府性基金预算、国有资本经营预算和社会保险基金预算支出表按功能分类公开到项级科目，一般公共预算基本支出表按经济分类公开到款级科目，专项转移支付应当分地区、分项目公开。没有数据的空表也要公开并予以说明。</w:t>
      </w:r>
    </w:p>
    <w:p w14:paraId="03944F77">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（三）政府债务预决算公开，按照财政部地方政府债务信息公开办法及参考表样等相关要求执行。</w:t>
      </w:r>
    </w:p>
    <w:p w14:paraId="411746FC">
      <w:pPr>
        <w:numPr>
          <w:ilvl w:val="0"/>
          <w:numId w:val="1"/>
        </w:num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政府预决算报表说明。具体要求：</w:t>
      </w:r>
    </w:p>
    <w:p w14:paraId="6C424E44">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（一）举借政府债务情况。包括地方政府债务限额、余额、使用安排及还本付息等信息，包括</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①随同预算公开上一年度本地区、本级及所属地区地方政府债务限额及余额</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或余额预计执行数</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，以及本地区和本级上一年度地方政府债券</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含再融资债券</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发行及还本付息额</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或预计执行数</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、本年度地方政府债券还本付息预算数等</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②随同调整预算公开当年本地区及本级地方政府债务限额、本级新增地方政府债券资金使用安排等；③随同决算公开上年末本地区、本级及所属地区地方政府债务限额、余额决算数、地方政府债券发行、还本付息决算数，以及债券资金使用安排等。</w:t>
      </w:r>
    </w:p>
    <w:p w14:paraId="52CB00E7">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（二）财政转移支付安排、执行情况。包括一般性转移支付和专项转移支付情况。如有国有资本经营预算转移支付的，也应说明。</w:t>
      </w:r>
    </w:p>
    <w:p w14:paraId="32CBF1B4">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三）本级汇总的一般公共预算“三公”经费预决算情况。包括一般公共预算“三公”经费预决算总额，以及因公出国（境）费、公务用车购置及运行维护费（区分公务用车购置费、公务用车运行维护费两项）、公务接待费分项数额，并对增减变化的原因进行说明。</w:t>
      </w:r>
    </w:p>
    <w:p w14:paraId="7AEA3F27">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（四）预算绩效工作开展情况。在政府预算报表说明中，应对预算绩效工作安排情况进行说明；在决算报表说明中，应对预算绩效工作开展情况进行说明。</w:t>
      </w:r>
    </w:p>
    <w:p w14:paraId="663C8357">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第十五条 各地可结合实际确定重点项目绩效目标、执行结果</w:t>
      </w:r>
      <w:r>
        <w:rPr>
          <w:rFonts w:hint="eastAsia" w:ascii="Times New Roman" w:hAnsi="Times New Roman" w:eastAsia="仿宋_GB2312"/>
          <w:sz w:val="32"/>
          <w:szCs w:val="32"/>
          <w:highlight w:val="none"/>
          <w:lang w:val="en-US" w:eastAsia="zh-CN"/>
        </w:rPr>
        <w:t>公开</w:t>
      </w:r>
      <w:r>
        <w:rPr>
          <w:rFonts w:hint="eastAsia" w:ascii="Times New Roman" w:hAnsi="Times New Roman" w:eastAsia="仿宋_GB2312"/>
          <w:sz w:val="32"/>
          <w:szCs w:val="32"/>
          <w:highlight w:val="none"/>
        </w:rPr>
        <w:t>内容。</w:t>
      </w:r>
    </w:p>
    <w:p w14:paraId="384A2248">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第十六条 </w:t>
      </w:r>
      <w:r>
        <w:rPr>
          <w:rFonts w:hint="eastAsia" w:ascii="Times New Roman" w:hAnsi="Times New Roman" w:eastAsia="仿宋_GB2312"/>
          <w:sz w:val="32"/>
          <w:szCs w:val="32"/>
          <w:highlight w:val="none"/>
          <w:lang w:val="en-US" w:eastAsia="zh-CN"/>
        </w:rPr>
        <w:t>鼓励公开</w:t>
      </w:r>
      <w:r>
        <w:rPr>
          <w:rFonts w:hint="eastAsia" w:ascii="Times New Roman" w:hAnsi="Times New Roman" w:eastAsia="仿宋_GB2312"/>
          <w:sz w:val="32"/>
          <w:szCs w:val="32"/>
          <w:highlight w:val="none"/>
        </w:rPr>
        <w:t>政府部门专项资金管理清单、行政事业性收费和政府性基金项目目录清单。</w:t>
      </w:r>
    </w:p>
    <w:p w14:paraId="06B78E6A">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第十七条 预算调整情况。按规定做好调整预算公开。</w:t>
      </w:r>
    </w:p>
    <w:p w14:paraId="25DAD003">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第十八条 财政管理制度，包括税收政策、非税收入收缴、财政专户、税收优惠政策等相关财政收入制度，本级专项支出管理、转移支付管理、政府采购等财政支出制度，会计、国库、国有资产等其他财政管理制度。</w:t>
      </w:r>
    </w:p>
    <w:p w14:paraId="6CAFCD62">
      <w:pPr>
        <w:pStyle w:val="4"/>
        <w:adjustRightInd w:val="0"/>
        <w:snapToGrid w:val="0"/>
        <w:spacing w:before="0" w:after="0" w:line="416" w:lineRule="auto"/>
        <w:jc w:val="center"/>
        <w:rPr>
          <w:rFonts w:hint="eastAsia" w:ascii="黑体" w:hAnsi="黑体" w:eastAsia="黑体" w:cs="黑体"/>
          <w:sz w:val="32"/>
          <w:szCs w:val="16"/>
          <w:highlight w:val="none"/>
        </w:rPr>
      </w:pPr>
      <w:bookmarkStart w:id="6" w:name="_Toc22098"/>
      <w:r>
        <w:rPr>
          <w:rFonts w:hint="eastAsia" w:ascii="黑体" w:hAnsi="黑体" w:eastAsia="黑体" w:cs="黑体"/>
          <w:sz w:val="32"/>
          <w:szCs w:val="16"/>
          <w:highlight w:val="none"/>
        </w:rPr>
        <w:t>五、部门（单位）预决算公开内容</w:t>
      </w:r>
      <w:bookmarkEnd w:id="6"/>
    </w:p>
    <w:p w14:paraId="75C379DC">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第十九条 各地</w:t>
      </w:r>
      <w:r>
        <w:rPr>
          <w:rFonts w:hint="eastAsia" w:ascii="Times New Roman" w:hAnsi="Times New Roman" w:eastAsia="仿宋_GB2312"/>
          <w:sz w:val="32"/>
          <w:szCs w:val="32"/>
          <w:highlight w:val="none"/>
          <w:lang w:val="en-US" w:eastAsia="zh-CN"/>
        </w:rPr>
        <w:t>可</w:t>
      </w:r>
      <w:r>
        <w:rPr>
          <w:rFonts w:hint="eastAsia" w:ascii="Times New Roman" w:hAnsi="Times New Roman" w:eastAsia="仿宋_GB2312"/>
          <w:sz w:val="32"/>
          <w:szCs w:val="32"/>
          <w:highlight w:val="none"/>
        </w:rPr>
        <w:t>参照附件中的公开模板进行规范化、标准化公开，除标注事项外不得随意删减</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或内容，没有数据的可以填零，可结合本地实际适当细化模板内容。</w:t>
      </w:r>
    </w:p>
    <w:p w14:paraId="78B59815">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第二十条 部门（单位）概况。包括：部门（单位）主要职能职责、部门（单位）机构设置及</w:t>
      </w:r>
      <w:r>
        <w:rPr>
          <w:rFonts w:hint="eastAsia" w:ascii="Times New Roman" w:hAnsi="Times New Roman" w:eastAsia="仿宋_GB2312"/>
          <w:sz w:val="32"/>
          <w:szCs w:val="32"/>
          <w:highlight w:val="none"/>
          <w:lang w:val="en-US" w:eastAsia="zh-CN"/>
        </w:rPr>
        <w:t>所属</w:t>
      </w:r>
      <w:r>
        <w:rPr>
          <w:rFonts w:hint="eastAsia" w:ascii="Times New Roman" w:hAnsi="Times New Roman" w:eastAsia="仿宋_GB2312"/>
          <w:sz w:val="32"/>
          <w:szCs w:val="32"/>
          <w:highlight w:val="none"/>
        </w:rPr>
        <w:t>单位构成情况、部门（单位）年度主要工作任务及目标。</w:t>
      </w:r>
    </w:p>
    <w:p w14:paraId="65ACA3D5">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第二十一条 部门（单位）预决算公开表。</w:t>
      </w:r>
    </w:p>
    <w:p w14:paraId="23B676AB">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（一）部门（单位）预算公开表有12张，包括</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收支总表、收入总表、支出总表、财政拨款收支总表、一般公共预算支出表、一般公共预算基本支出表、一般公共预算“三公”经费支出表、政府性基金预算支出表、国有资本经营预算支出表、项目支出表、项目绩效目标表、政府采购预算表。</w:t>
      </w:r>
    </w:p>
    <w:p w14:paraId="67EABF66">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（二）部门（单位）决算公开表有1</w:t>
      </w:r>
      <w:r>
        <w:rPr>
          <w:rFonts w:hint="eastAsia" w:eastAsia="仿宋_GB2312"/>
          <w:sz w:val="32"/>
          <w:szCs w:val="32"/>
          <w:highlight w:val="none"/>
          <w:lang w:val="en-US" w:eastAsia="zh-CN"/>
        </w:rPr>
        <w:t>1</w:t>
      </w:r>
      <w:r>
        <w:rPr>
          <w:rFonts w:hint="eastAsia" w:ascii="Times New Roman" w:hAnsi="Times New Roman" w:eastAsia="仿宋_GB2312"/>
          <w:sz w:val="32"/>
          <w:szCs w:val="32"/>
          <w:highlight w:val="none"/>
        </w:rPr>
        <w:t>张，包括</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收入支出决算总表、收入决算表、支出决算表、财政拨款收入支出决算总表、项目收入支出决算表、一般公共预算财政拨款支出决算表、一般公共预算财政拨款基本支出决算</w:t>
      </w:r>
      <w:r>
        <w:rPr>
          <w:rFonts w:hint="eastAsia" w:ascii="Times New Roman" w:hAnsi="Times New Roman" w:eastAsia="仿宋_GB2312"/>
          <w:sz w:val="32"/>
          <w:szCs w:val="32"/>
          <w:highlight w:val="none"/>
          <w:lang w:val="en-US" w:eastAsia="zh-CN"/>
        </w:rPr>
        <w:t>明细</w:t>
      </w:r>
      <w:r>
        <w:rPr>
          <w:rFonts w:hint="eastAsia" w:ascii="Times New Roman" w:hAnsi="Times New Roman" w:eastAsia="仿宋_GB2312"/>
          <w:sz w:val="32"/>
          <w:szCs w:val="32"/>
          <w:highlight w:val="none"/>
        </w:rPr>
        <w:t>表、政府性基金预算财政拨款</w:t>
      </w:r>
      <w:r>
        <w:rPr>
          <w:rFonts w:hint="eastAsia" w:ascii="Times New Roman" w:hAnsi="Times New Roman" w:eastAsia="仿宋_GB2312"/>
          <w:sz w:val="32"/>
          <w:szCs w:val="32"/>
          <w:highlight w:val="none"/>
          <w:lang w:val="en-US" w:eastAsia="zh-CN"/>
        </w:rPr>
        <w:t>收入</w:t>
      </w:r>
      <w:r>
        <w:rPr>
          <w:rFonts w:hint="eastAsia" w:ascii="Times New Roman" w:hAnsi="Times New Roman" w:eastAsia="仿宋_GB2312"/>
          <w:sz w:val="32"/>
          <w:szCs w:val="32"/>
          <w:highlight w:val="none"/>
        </w:rPr>
        <w:t>支出决算表、国有资本经营预算财政拨款支出决算表、财政拨款“三公”经费支出决算表、机构运行经费支出和国有资产占用情况及政府采购支出信息表。</w:t>
      </w:r>
    </w:p>
    <w:p w14:paraId="3F59893B">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没有数据的空表也要公开，不得自行删除。各部门（单位）应确保公开</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中的明细项目合计数与合计栏填列的数据一致。</w:t>
      </w:r>
    </w:p>
    <w:p w14:paraId="74CCC9EA">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第二十二条 部门（单位）预决算公开说明。</w:t>
      </w:r>
    </w:p>
    <w:p w14:paraId="45668B21">
      <w:pPr>
        <w:numPr>
          <w:ilvl w:val="0"/>
          <w:numId w:val="2"/>
        </w:num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预算公开说明事项共14项，包括：收支预算总体情况、收入预算情况、支出预算情况、财政拨款收支预算总体情况、一般公共预算支出预算情况、一般公共预算基本支出预算情况、一般公共预算“三公”经费支出预算情况、政府性基金预算支出预算情况、国有资本经营预算支出预算情况、项目支出预算情况、</w:t>
      </w:r>
      <w:r>
        <w:rPr>
          <w:rFonts w:hint="eastAsia" w:ascii="Times New Roman" w:hAnsi="Times New Roman" w:eastAsia="仿宋_GB2312"/>
          <w:sz w:val="32"/>
          <w:szCs w:val="32"/>
          <w:highlight w:val="none"/>
          <w:lang w:val="en-US" w:eastAsia="zh-CN"/>
        </w:rPr>
        <w:t>机构</w:t>
      </w:r>
      <w:r>
        <w:rPr>
          <w:rFonts w:hint="eastAsia" w:ascii="Times New Roman" w:hAnsi="Times New Roman" w:eastAsia="仿宋_GB2312"/>
          <w:sz w:val="32"/>
          <w:szCs w:val="32"/>
          <w:highlight w:val="none"/>
        </w:rPr>
        <w:t>运行经费支出预算情况、政府采购支出预算情况、国有资产占用情况、项目绩效目标情况。</w:t>
      </w:r>
    </w:p>
    <w:p w14:paraId="22CE667E">
      <w:pPr>
        <w:numPr>
          <w:ilvl w:val="0"/>
          <w:numId w:val="2"/>
        </w:num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决算公开说明事项共14项，包括：收入支出决算总体情况、收入决算情况、支出决算情况、财政拨款收入支出决算总体情况、一般公共预算支出决算情况、一般公共预算基本支出决算情况、一般公共预算“三公”经费支出决算情况、政府性基金预算支出决算情况、国有资本经营预算支出决算情况、项目支出决算情况、</w:t>
      </w:r>
      <w:r>
        <w:rPr>
          <w:rFonts w:hint="eastAsia" w:ascii="Times New Roman" w:hAnsi="Times New Roman" w:eastAsia="仿宋_GB2312"/>
          <w:sz w:val="32"/>
          <w:szCs w:val="32"/>
          <w:highlight w:val="none"/>
          <w:lang w:val="en-US" w:eastAsia="zh-CN"/>
        </w:rPr>
        <w:t>机构</w:t>
      </w:r>
      <w:r>
        <w:rPr>
          <w:rFonts w:hint="eastAsia" w:ascii="Times New Roman" w:hAnsi="Times New Roman" w:eastAsia="仿宋_GB2312"/>
          <w:sz w:val="32"/>
          <w:szCs w:val="32"/>
          <w:highlight w:val="none"/>
        </w:rPr>
        <w:t>运行经费支出决算情况、政府采购支出决算情况、国有资产占用情况、</w:t>
      </w:r>
      <w:r>
        <w:rPr>
          <w:rFonts w:hint="eastAsia" w:eastAsia="仿宋_GB2312"/>
          <w:sz w:val="32"/>
          <w:szCs w:val="32"/>
          <w:highlight w:val="none"/>
          <w:lang w:val="en-US" w:eastAsia="zh-CN"/>
        </w:rPr>
        <w:t>预算绩效</w:t>
      </w:r>
      <w:r>
        <w:rPr>
          <w:rFonts w:hint="eastAsia" w:ascii="Times New Roman" w:hAnsi="Times New Roman" w:eastAsia="仿宋_GB2312"/>
          <w:sz w:val="32"/>
          <w:szCs w:val="32"/>
          <w:highlight w:val="none"/>
        </w:rPr>
        <w:t>情况。</w:t>
      </w:r>
    </w:p>
    <w:p w14:paraId="48C17650">
      <w:pPr>
        <w:numPr>
          <w:ilvl w:val="0"/>
          <w:numId w:val="2"/>
        </w:numPr>
        <w:adjustRightInd w:val="0"/>
        <w:snapToGrid w:val="0"/>
        <w:spacing w:line="360" w:lineRule="auto"/>
        <w:ind w:firstLine="64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决算中预算绩效情况公开说明。</w:t>
      </w:r>
      <w:r>
        <w:rPr>
          <w:rFonts w:hint="eastAsia" w:ascii="Times New Roman" w:hAnsi="Times New Roman" w:eastAsia="仿宋_GB2312"/>
          <w:sz w:val="32"/>
          <w:szCs w:val="32"/>
          <w:highlight w:val="none"/>
        </w:rPr>
        <w:t>部门（单位）详细说明年度开展四本预算项目支出</w:t>
      </w:r>
      <w:r>
        <w:rPr>
          <w:rFonts w:hint="eastAsia" w:ascii="Times New Roman" w:hAnsi="Times New Roman" w:eastAsia="仿宋_GB2312"/>
          <w:sz w:val="32"/>
          <w:szCs w:val="32"/>
          <w:highlight w:val="none"/>
          <w:lang w:val="en-US" w:eastAsia="zh-CN"/>
        </w:rPr>
        <w:t>绩效</w:t>
      </w:r>
      <w:r>
        <w:rPr>
          <w:rFonts w:hint="eastAsia" w:ascii="Times New Roman" w:hAnsi="Times New Roman" w:eastAsia="仿宋_GB2312"/>
          <w:sz w:val="32"/>
          <w:szCs w:val="32"/>
          <w:highlight w:val="none"/>
        </w:rPr>
        <w:t>自评情况</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部门评价</w:t>
      </w:r>
      <w:r>
        <w:rPr>
          <w:rFonts w:hint="eastAsia" w:ascii="Times New Roman" w:hAnsi="Times New Roman" w:eastAsia="仿宋_GB2312"/>
          <w:sz w:val="32"/>
          <w:szCs w:val="32"/>
          <w:highlight w:val="none"/>
          <w:lang w:val="en-US" w:eastAsia="zh-CN"/>
        </w:rPr>
        <w:t>项目</w:t>
      </w:r>
      <w:r>
        <w:rPr>
          <w:rFonts w:hint="eastAsia" w:ascii="Times New Roman" w:hAnsi="Times New Roman" w:eastAsia="仿宋_GB2312"/>
          <w:sz w:val="32"/>
          <w:szCs w:val="32"/>
          <w:highlight w:val="none"/>
        </w:rPr>
        <w:t>情况，包括但不限于一、二级项目数，资金数及资金占比情况。</w:t>
      </w:r>
    </w:p>
    <w:p w14:paraId="48E95FC6">
      <w:pPr>
        <w:adjustRightInd w:val="0"/>
        <w:snapToGrid w:val="0"/>
        <w:spacing w:line="360" w:lineRule="auto"/>
        <w:ind w:left="63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（四）注意事项说明。</w:t>
      </w:r>
    </w:p>
    <w:p w14:paraId="2450BA1F">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开“三公”经费预决算信息时，应包含以下内容：一般公共预算财政拨款安排的“三公”经费预决算总额和分项数额，并对增减变化的原因进行说明。“公务用车购置及运行维护费”公开为“公务用车购置费”和“公务用车运行维护费”。“三公”经费决算公开要说明因公出国（境）团组数及人数，公务用车购置数及保有量，公务接待的批次、人数、经费总额以及“三公”经费增减变化原因等情况。</w:t>
      </w:r>
    </w:p>
    <w:p w14:paraId="76CF00C3">
      <w:pPr>
        <w:adjustRightInd w:val="0"/>
        <w:snapToGrid w:val="0"/>
        <w:spacing w:line="360" w:lineRule="auto"/>
        <w:ind w:left="10" w:firstLine="617" w:firstLineChars="193"/>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部门（单位）在进行公开说明时，应确保文字说明中的数据与公开</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中的数据一致。如</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为空表或</w:t>
      </w:r>
      <w:r>
        <w:rPr>
          <w:rFonts w:hint="eastAsia" w:ascii="Times New Roman" w:hAnsi="Times New Roman" w:eastAsia="仿宋_GB2312"/>
          <w:sz w:val="32"/>
          <w:szCs w:val="32"/>
          <w:highlight w:val="none"/>
          <w:lang w:val="en-US" w:eastAsia="zh-CN"/>
        </w:rPr>
        <w:t>报表</w:t>
      </w:r>
      <w:r>
        <w:rPr>
          <w:rFonts w:hint="eastAsia" w:ascii="Times New Roman" w:hAnsi="Times New Roman" w:eastAsia="仿宋_GB2312"/>
          <w:sz w:val="32"/>
          <w:szCs w:val="32"/>
          <w:highlight w:val="none"/>
        </w:rPr>
        <w:t>中数据为“0”，对应的文字说明中金额也应填“0”。按要求需与上年决算数（或上年预算数或本年预算数）作对比说明的，即使发生额为“0”，若发生增减变化，应填写增减变化原因；若无增减变化，则应写明“与上年决算数（或上年预算数或本年预算数）相同。”</w:t>
      </w:r>
    </w:p>
    <w:p w14:paraId="565AA753">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第二十三条 名词解释。对本部门（单位）预决算公开中使用的专业性较强的名词进行解释。</w:t>
      </w:r>
    </w:p>
    <w:p w14:paraId="0D835873">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第二十四条 政府采购信息说明。</w:t>
      </w:r>
    </w:p>
    <w:p w14:paraId="066AA5E1">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（一）部门（单位）政府采购预算信息公开主要包括政府采购预算总金额和货物、工程、服务采购的预算金额。</w:t>
      </w:r>
    </w:p>
    <w:p w14:paraId="61037484">
      <w:pPr>
        <w:adjustRightInd w:val="0"/>
        <w:snapToGrid w:val="0"/>
        <w:spacing w:line="360" w:lineRule="auto"/>
        <w:ind w:left="0" w:leftChars="0" w:firstLine="640" w:firstLineChars="200"/>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（二）部门（单位）政府采购决算信息公开主要包括政府采购支出总金额，货物、工程、服务的采购金额</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授予中小企业的合同金额及占政府采购支出总金额的比重</w:t>
      </w:r>
      <w:r>
        <w:rPr>
          <w:rFonts w:hint="eastAsia" w:ascii="Times New Roman" w:hAnsi="Times New Roman" w:eastAsia="仿宋_GB2312"/>
          <w:sz w:val="32"/>
          <w:szCs w:val="32"/>
          <w:highlight w:val="none"/>
          <w:lang w:val="en-US" w:eastAsia="zh-CN"/>
        </w:rPr>
        <w:t>。</w:t>
      </w:r>
    </w:p>
    <w:p w14:paraId="4A68114E">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第二十五条 国有资产占用情况说明。</w:t>
      </w:r>
    </w:p>
    <w:p w14:paraId="38F9765B">
      <w:pPr>
        <w:adjustRightInd w:val="0"/>
        <w:snapToGrid w:val="0"/>
        <w:spacing w:line="360" w:lineRule="auto"/>
        <w:ind w:left="0" w:leftChars="0"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部门（单位）对占有、使用国有资产的有关情况进行公开，包括车辆信息、设备信息等。</w:t>
      </w:r>
    </w:p>
    <w:p w14:paraId="5D0DA884">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第二十六条 绩效信息</w:t>
      </w:r>
      <w:r>
        <w:rPr>
          <w:rFonts w:hint="eastAsia" w:ascii="Times New Roman" w:hAnsi="Times New Roman" w:eastAsia="仿宋_GB2312"/>
          <w:sz w:val="32"/>
          <w:szCs w:val="32"/>
          <w:highlight w:val="none"/>
          <w:lang w:val="en-US" w:eastAsia="zh-CN"/>
        </w:rPr>
        <w:t>公开</w:t>
      </w:r>
      <w:r>
        <w:rPr>
          <w:rFonts w:hint="eastAsia" w:ascii="Times New Roman" w:hAnsi="Times New Roman" w:eastAsia="仿宋_GB2312"/>
          <w:sz w:val="32"/>
          <w:szCs w:val="32"/>
          <w:highlight w:val="none"/>
        </w:rPr>
        <w:t>说明。</w:t>
      </w:r>
    </w:p>
    <w:p w14:paraId="31B37BC7">
      <w:pPr>
        <w:adjustRightInd w:val="0"/>
        <w:snapToGrid w:val="0"/>
        <w:spacing w:line="360" w:lineRule="auto"/>
        <w:ind w:firstLine="640" w:firstLineChars="200"/>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（一）财政部门在公开政府决算时同步公开财政评价报告</w:t>
      </w:r>
      <w:r>
        <w:rPr>
          <w:rFonts w:hint="eastAsia" w:ascii="Times New Roman" w:hAnsi="Times New Roman" w:eastAsia="仿宋_GB2312"/>
          <w:sz w:val="32"/>
          <w:szCs w:val="32"/>
          <w:highlight w:val="none"/>
          <w:lang w:eastAsia="zh-CN"/>
        </w:rPr>
        <w:t>。</w:t>
      </w:r>
    </w:p>
    <w:p w14:paraId="0931B5D5">
      <w:pPr>
        <w:adjustRightInd w:val="0"/>
        <w:snapToGrid w:val="0"/>
        <w:spacing w:line="360" w:lineRule="auto"/>
        <w:ind w:firstLine="640" w:firstLineChars="200"/>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（二）</w:t>
      </w:r>
      <w:r>
        <w:rPr>
          <w:rFonts w:hint="eastAsia" w:ascii="Times New Roman" w:hAnsi="Times New Roman" w:eastAsia="仿宋_GB2312"/>
          <w:sz w:val="32"/>
          <w:szCs w:val="32"/>
          <w:highlight w:val="none"/>
        </w:rPr>
        <w:t>部门（单位）在公开预算时同步公开项目</w:t>
      </w:r>
      <w:r>
        <w:rPr>
          <w:rFonts w:hint="eastAsia" w:ascii="Times New Roman" w:hAnsi="Times New Roman" w:eastAsia="仿宋_GB2312"/>
          <w:sz w:val="32"/>
          <w:szCs w:val="32"/>
          <w:highlight w:val="none"/>
          <w:lang w:val="en-US" w:eastAsia="zh-CN"/>
        </w:rPr>
        <w:t>支出</w:t>
      </w:r>
      <w:r>
        <w:rPr>
          <w:rFonts w:hint="eastAsia" w:ascii="Times New Roman" w:hAnsi="Times New Roman" w:eastAsia="仿宋_GB2312"/>
          <w:sz w:val="32"/>
          <w:szCs w:val="32"/>
          <w:highlight w:val="none"/>
        </w:rPr>
        <w:t>绩效目标</w:t>
      </w:r>
      <w:r>
        <w:rPr>
          <w:rFonts w:hint="eastAsia" w:ascii="Times New Roman" w:hAnsi="Times New Roman" w:eastAsia="仿宋_GB2312"/>
          <w:sz w:val="32"/>
          <w:szCs w:val="32"/>
          <w:highlight w:val="none"/>
          <w:lang w:val="en-US" w:eastAsia="zh-CN"/>
        </w:rPr>
        <w:t>表</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鼓励公开部门（单位）整体绩效目标表</w:t>
      </w:r>
      <w:r>
        <w:rPr>
          <w:rFonts w:hint="eastAsia" w:ascii="Times New Roman" w:hAnsi="Times New Roman" w:eastAsia="仿宋_GB2312"/>
          <w:sz w:val="32"/>
          <w:szCs w:val="32"/>
          <w:highlight w:val="none"/>
        </w:rPr>
        <w:t>（见附件3）</w:t>
      </w:r>
      <w:r>
        <w:rPr>
          <w:rFonts w:hint="eastAsia" w:ascii="Times New Roman" w:hAnsi="Times New Roman" w:eastAsia="仿宋_GB2312"/>
          <w:sz w:val="32"/>
          <w:szCs w:val="32"/>
          <w:highlight w:val="none"/>
          <w:lang w:val="en-US" w:eastAsia="zh-CN"/>
        </w:rPr>
        <w:t>。</w:t>
      </w:r>
    </w:p>
    <w:p w14:paraId="620764FB">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三</w:t>
      </w:r>
      <w:r>
        <w:rPr>
          <w:rFonts w:hint="eastAsia" w:ascii="Times New Roman" w:hAnsi="Times New Roman" w:eastAsia="仿宋_GB2312"/>
          <w:sz w:val="32"/>
          <w:szCs w:val="32"/>
          <w:highlight w:val="none"/>
        </w:rPr>
        <w:t>）部门（单位）在公开决算时同步公开</w:t>
      </w:r>
      <w:r>
        <w:rPr>
          <w:rFonts w:hint="eastAsia" w:ascii="Times New Roman" w:hAnsi="Times New Roman" w:eastAsia="仿宋_GB2312"/>
          <w:sz w:val="32"/>
          <w:szCs w:val="32"/>
          <w:highlight w:val="none"/>
          <w:lang w:val="en-US" w:eastAsia="zh-CN"/>
        </w:rPr>
        <w:t>项目</w:t>
      </w:r>
      <w:r>
        <w:rPr>
          <w:rFonts w:hint="eastAsia" w:ascii="Times New Roman" w:hAnsi="Times New Roman" w:eastAsia="仿宋_GB2312"/>
          <w:sz w:val="32"/>
          <w:szCs w:val="32"/>
          <w:highlight w:val="none"/>
        </w:rPr>
        <w:t>绩效自评结果和</w:t>
      </w:r>
      <w:r>
        <w:rPr>
          <w:rFonts w:hint="eastAsia" w:ascii="Times New Roman" w:hAnsi="Times New Roman" w:eastAsia="仿宋_GB2312"/>
          <w:sz w:val="32"/>
          <w:szCs w:val="32"/>
          <w:highlight w:val="none"/>
          <w:lang w:val="en-US" w:eastAsia="zh-CN"/>
        </w:rPr>
        <w:t>重点项目部门</w:t>
      </w:r>
      <w:r>
        <w:rPr>
          <w:rFonts w:hint="eastAsia" w:ascii="Times New Roman" w:hAnsi="Times New Roman" w:eastAsia="仿宋_GB2312"/>
          <w:sz w:val="32"/>
          <w:szCs w:val="32"/>
          <w:highlight w:val="none"/>
        </w:rPr>
        <w:t>评价报告</w:t>
      </w:r>
      <w:r>
        <w:rPr>
          <w:rFonts w:hint="eastAsia" w:ascii="Times New Roman" w:hAnsi="Times New Roman" w:eastAsia="仿宋_GB2312"/>
          <w:sz w:val="32"/>
          <w:szCs w:val="32"/>
          <w:highlight w:val="none"/>
          <w:lang w:eastAsia="zh-CN"/>
        </w:rPr>
        <w:t>。</w:t>
      </w:r>
    </w:p>
    <w:p w14:paraId="3421B02E">
      <w:pPr>
        <w:adjustRightInd w:val="0"/>
        <w:snapToGrid w:val="0"/>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四</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部门（单位）决算中项目绩效自评结果。根据预算项目开展情况，分项目进行绩效评价结果情况综述，</w:t>
      </w:r>
      <w:r>
        <w:rPr>
          <w:rFonts w:hint="eastAsia" w:ascii="Times New Roman" w:hAnsi="Times New Roman" w:eastAsia="仿宋_GB2312"/>
          <w:sz w:val="32"/>
          <w:szCs w:val="32"/>
          <w:highlight w:val="none"/>
          <w:lang w:val="en-US" w:eastAsia="zh-CN"/>
        </w:rPr>
        <w:t>包括</w:t>
      </w:r>
      <w:r>
        <w:rPr>
          <w:rFonts w:hint="eastAsia" w:ascii="Times New Roman" w:hAnsi="Times New Roman" w:eastAsia="仿宋_GB2312"/>
          <w:sz w:val="32"/>
          <w:szCs w:val="32"/>
          <w:highlight w:val="none"/>
        </w:rPr>
        <w:t>项目基本情况、自评组织实施情况、自评结论、项目绩效、存在问题和有关建议等主要内容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并将项目支出绩效自评表附后</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见附件4</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。项目自评要覆盖部门（单位）本年度所有项目，但对外公开中，部门（单位）最低自评项目公开数量不少于5个，低于5个自评项目的部门（单位）按实际数量公开。</w:t>
      </w:r>
    </w:p>
    <w:p w14:paraId="49A4252D">
      <w:pPr>
        <w:pStyle w:val="4"/>
        <w:adjustRightInd w:val="0"/>
        <w:snapToGrid w:val="0"/>
        <w:spacing w:before="0" w:after="0" w:line="416" w:lineRule="auto"/>
        <w:jc w:val="center"/>
        <w:rPr>
          <w:rFonts w:hint="eastAsia" w:ascii="黑体" w:hAnsi="黑体" w:eastAsia="黑体" w:cs="黑体"/>
          <w:sz w:val="32"/>
          <w:szCs w:val="16"/>
          <w:highlight w:val="none"/>
        </w:rPr>
      </w:pPr>
      <w:bookmarkStart w:id="7" w:name="_Toc16549"/>
      <w:r>
        <w:rPr>
          <w:rFonts w:hint="eastAsia" w:ascii="黑体" w:hAnsi="黑体" w:eastAsia="黑体" w:cs="黑体"/>
          <w:sz w:val="32"/>
          <w:szCs w:val="16"/>
          <w:highlight w:val="none"/>
        </w:rPr>
        <w:t>六、预决算公开方式</w:t>
      </w:r>
      <w:bookmarkEnd w:id="7"/>
    </w:p>
    <w:p w14:paraId="35DFDB6A">
      <w:pPr>
        <w:tabs>
          <w:tab w:val="left" w:pos="0"/>
        </w:tabs>
        <w:adjustRightInd w:val="0"/>
        <w:snapToGrid w:val="0"/>
        <w:spacing w:line="360" w:lineRule="auto"/>
        <w:ind w:left="15" w:leftChars="7" w:firstLine="625"/>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第二十七条 全区各级政府、部门（单位）要确保本级预决算信息在各地政府或财政部门网站（部门及所属单位建有门户网站的，应当在门户网站公开预决算并永久保留）集中公开的前提下，同时在全区统一集中监管平台进行公开，并保证公开信息一致、权威、规范。</w:t>
      </w:r>
    </w:p>
    <w:p w14:paraId="43F72F4D">
      <w:pPr>
        <w:pStyle w:val="4"/>
        <w:adjustRightInd w:val="0"/>
        <w:snapToGrid w:val="0"/>
        <w:spacing w:before="0" w:after="0" w:line="416" w:lineRule="auto"/>
        <w:jc w:val="center"/>
        <w:rPr>
          <w:rFonts w:hint="eastAsia" w:ascii="黑体" w:hAnsi="黑体" w:eastAsia="黑体" w:cs="黑体"/>
          <w:sz w:val="32"/>
          <w:szCs w:val="16"/>
          <w:highlight w:val="none"/>
        </w:rPr>
      </w:pPr>
      <w:bookmarkStart w:id="8" w:name="_Toc21219"/>
      <w:r>
        <w:rPr>
          <w:rFonts w:hint="eastAsia" w:ascii="黑体" w:hAnsi="黑体" w:eastAsia="黑体" w:cs="黑体"/>
          <w:sz w:val="32"/>
          <w:szCs w:val="16"/>
          <w:highlight w:val="none"/>
        </w:rPr>
        <w:t>七、涉密事项管理</w:t>
      </w:r>
      <w:bookmarkEnd w:id="8"/>
    </w:p>
    <w:p w14:paraId="2500B50A">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第二十八条 自治区各级财政部门、部门（单位）应当健全预决算公开保密审查机制，严格依照《中华人民共和国保密法》《中华人民共和国政府信息公开条例》等法律法规进行审查。部分内容涉及国家秘密的，在确保安全的前提下，按照下列原则处理：同一功能分类款级科目下，大部分项级科目涉密的，仅公开到该款级科目；同一功能分类类级科目下，大部分款级科目涉密的，仅公开到该类级科目；个别功能分类款级科目或项级科目涉密的，除不公开该涉密科目外，同一级次的“其他支出”科目也不公开。</w:t>
      </w:r>
    </w:p>
    <w:p w14:paraId="0BD16580">
      <w:pPr>
        <w:pStyle w:val="4"/>
        <w:adjustRightInd w:val="0"/>
        <w:snapToGrid w:val="0"/>
        <w:spacing w:before="0" w:after="0" w:line="416" w:lineRule="auto"/>
        <w:jc w:val="center"/>
        <w:rPr>
          <w:rFonts w:hint="eastAsia" w:ascii="黑体" w:hAnsi="黑体" w:eastAsia="黑体" w:cs="黑体"/>
          <w:sz w:val="32"/>
          <w:szCs w:val="16"/>
          <w:highlight w:val="none"/>
        </w:rPr>
      </w:pPr>
      <w:bookmarkStart w:id="9" w:name="_Toc4150"/>
      <w:r>
        <w:rPr>
          <w:rFonts w:hint="eastAsia" w:ascii="黑体" w:hAnsi="黑体" w:eastAsia="黑体" w:cs="黑体"/>
          <w:sz w:val="32"/>
          <w:szCs w:val="16"/>
          <w:highlight w:val="none"/>
        </w:rPr>
        <w:t>八、监督考核管理</w:t>
      </w:r>
      <w:bookmarkEnd w:id="9"/>
    </w:p>
    <w:p w14:paraId="7F840DE8">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第二十九条 日常审核及集中核查。全区各级财政部门要树立“全区预决算公开一盘棋”思想，通过日常核查、专项检查和考核排名，逐步提高本地区预决算公开质量。全区各级财政预算部门要做好本地区政府预算公开工作，国库部门要做好本地区政府决算公开工作；指导和督促本级各预算部门和所属单位、下级财政部门预决算公开工作；做好本级各预算部门和所属单位预决算公开日常审核工作。全区各级财政监督部门要做好本级预决算信息真实性抽查和公开信息年度专项核查。</w:t>
      </w:r>
    </w:p>
    <w:p w14:paraId="6FB008A4">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第三十条 排名通报及整改。全区各级财政部门要对本级预决算公开核查结果进行量化考核、排名，并对排名情况进行通报。核查发现的问题要监督整改。整改不力的可采取通报、约谈和现场督导等方式，督促整改到位。</w:t>
      </w:r>
    </w:p>
    <w:p w14:paraId="5FBD9A16">
      <w:pPr>
        <w:adjustRightInd w:val="0"/>
        <w:snapToGrid w:val="0"/>
        <w:spacing w:line="360" w:lineRule="auto"/>
        <w:ind w:firstLine="64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第三十一条 考核奖励。</w:t>
      </w:r>
      <w:r>
        <w:rPr>
          <w:rFonts w:hint="eastAsia" w:ascii="Times New Roman" w:hAnsi="Times New Roman" w:eastAsia="仿宋_GB2312"/>
          <w:sz w:val="32"/>
          <w:szCs w:val="32"/>
          <w:highlight w:val="none"/>
          <w:lang w:val="en-US" w:eastAsia="zh-CN"/>
        </w:rPr>
        <w:t>对</w:t>
      </w:r>
      <w:r>
        <w:rPr>
          <w:rFonts w:hint="eastAsia" w:ascii="Times New Roman" w:hAnsi="Times New Roman" w:eastAsia="仿宋_GB2312"/>
          <w:sz w:val="32"/>
          <w:szCs w:val="32"/>
          <w:highlight w:val="none"/>
        </w:rPr>
        <w:t>直达资金下达使用、落实预决算公开等财政工作绩效突出的省（自治区、直辖市），</w:t>
      </w:r>
      <w:r>
        <w:rPr>
          <w:rFonts w:hint="eastAsia" w:ascii="Times New Roman" w:hAnsi="Times New Roman" w:eastAsia="仿宋_GB2312"/>
          <w:sz w:val="32"/>
          <w:szCs w:val="32"/>
          <w:highlight w:val="none"/>
          <w:lang w:val="en-US" w:eastAsia="zh-CN"/>
        </w:rPr>
        <w:t>中央财政将</w:t>
      </w:r>
      <w:r>
        <w:rPr>
          <w:rFonts w:hint="eastAsia" w:ascii="Times New Roman" w:hAnsi="Times New Roman" w:eastAsia="仿宋_GB2312"/>
          <w:sz w:val="32"/>
          <w:szCs w:val="32"/>
          <w:highlight w:val="none"/>
        </w:rPr>
        <w:t>通过年度预算安排资金奖励</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由省级财政统筹使用。自治区财政厅</w:t>
      </w:r>
      <w:r>
        <w:rPr>
          <w:rFonts w:hint="eastAsia" w:ascii="Times New Roman" w:hAnsi="Times New Roman" w:eastAsia="仿宋_GB2312"/>
          <w:sz w:val="32"/>
          <w:szCs w:val="32"/>
          <w:highlight w:val="none"/>
          <w:lang w:val="en-US" w:eastAsia="zh-CN"/>
        </w:rPr>
        <w:t>在安排下达年度监督检查工作经费时</w:t>
      </w:r>
      <w:r>
        <w:rPr>
          <w:rFonts w:hint="eastAsia" w:ascii="Times New Roman" w:hAnsi="Times New Roman" w:eastAsia="仿宋_GB2312"/>
          <w:sz w:val="32"/>
          <w:szCs w:val="32"/>
          <w:highlight w:val="none"/>
        </w:rPr>
        <w:t>，与各地年度预决算公开考核</w:t>
      </w:r>
      <w:r>
        <w:rPr>
          <w:rFonts w:hint="eastAsia" w:ascii="Times New Roman" w:hAnsi="Times New Roman" w:eastAsia="仿宋_GB2312"/>
          <w:sz w:val="32"/>
          <w:szCs w:val="32"/>
          <w:highlight w:val="none"/>
          <w:lang w:val="en-US" w:eastAsia="zh-CN"/>
        </w:rPr>
        <w:t>情况</w:t>
      </w:r>
      <w:r>
        <w:rPr>
          <w:rFonts w:hint="eastAsia" w:ascii="Times New Roman" w:hAnsi="Times New Roman" w:eastAsia="仿宋_GB2312"/>
          <w:sz w:val="32"/>
          <w:szCs w:val="32"/>
          <w:highlight w:val="none"/>
        </w:rPr>
        <w:t>挂钩。</w:t>
      </w:r>
    </w:p>
    <w:p w14:paraId="5A35FEF7">
      <w:pPr>
        <w:pStyle w:val="4"/>
        <w:adjustRightInd w:val="0"/>
        <w:snapToGrid w:val="0"/>
        <w:spacing w:before="0" w:after="0" w:line="416" w:lineRule="auto"/>
        <w:jc w:val="center"/>
        <w:rPr>
          <w:rFonts w:hint="eastAsia" w:ascii="黑体" w:hAnsi="黑体" w:eastAsia="黑体" w:cs="黑体"/>
          <w:sz w:val="32"/>
          <w:szCs w:val="16"/>
          <w:highlight w:val="none"/>
        </w:rPr>
      </w:pPr>
      <w:bookmarkStart w:id="10" w:name="_Toc1286"/>
      <w:r>
        <w:rPr>
          <w:rFonts w:hint="eastAsia" w:ascii="黑体" w:hAnsi="黑体" w:eastAsia="黑体" w:cs="黑体"/>
          <w:sz w:val="32"/>
          <w:szCs w:val="16"/>
          <w:highlight w:val="none"/>
        </w:rPr>
        <w:t>九、附   则</w:t>
      </w:r>
      <w:bookmarkEnd w:id="10"/>
    </w:p>
    <w:p w14:paraId="4D2A4F38">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第三十二条 本指引自印发之日起执行。各盟市旗县财政部门可结合实际情况制定实施细则。</w:t>
      </w:r>
    </w:p>
    <w:p w14:paraId="53FD8372">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各盟市旗县财政部门在执行中发现问题，应当及时向自治区财政厅报告。</w:t>
      </w:r>
    </w:p>
    <w:p w14:paraId="28A462D6">
      <w:pPr>
        <w:adjustRightInd w:val="0"/>
        <w:snapToGrid w:val="0"/>
        <w:spacing w:line="360" w:lineRule="auto"/>
        <w:ind w:firstLine="640"/>
        <w:rPr>
          <w:rFonts w:ascii="Times New Roman" w:hAnsi="Times New Roman" w:eastAsia="仿宋_GB2312"/>
          <w:sz w:val="32"/>
          <w:szCs w:val="32"/>
          <w:highlight w:val="none"/>
        </w:rPr>
      </w:pPr>
    </w:p>
    <w:p w14:paraId="785B94B9">
      <w:pPr>
        <w:adjustRightInd w:val="0"/>
        <w:snapToGrid w:val="0"/>
        <w:spacing w:line="360" w:lineRule="auto"/>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附件：1.年度部门（单位）预算公开模板（参考）</w:t>
      </w:r>
    </w:p>
    <w:p w14:paraId="6DDB70AB">
      <w:pPr>
        <w:adjustRightInd w:val="0"/>
        <w:snapToGrid w:val="0"/>
        <w:spacing w:line="360" w:lineRule="auto"/>
        <w:ind w:firstLine="1609" w:firstLineChars="503"/>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2.年度部门（单位）决算公开模板（参考）</w:t>
      </w:r>
    </w:p>
    <w:p w14:paraId="465AC6DB">
      <w:pPr>
        <w:adjustRightInd w:val="0"/>
        <w:snapToGrid w:val="0"/>
        <w:spacing w:line="360" w:lineRule="auto"/>
        <w:ind w:firstLine="1609" w:firstLineChars="503"/>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3.部门（单位）整体绩效目标</w:t>
      </w:r>
      <w:r>
        <w:rPr>
          <w:rFonts w:hint="eastAsia" w:ascii="Times New Roman" w:hAnsi="Times New Roman" w:eastAsia="仿宋_GB2312"/>
          <w:sz w:val="32"/>
          <w:szCs w:val="32"/>
          <w:highlight w:val="none"/>
          <w:lang w:val="en-US" w:eastAsia="zh-CN"/>
        </w:rPr>
        <w:t>表</w:t>
      </w:r>
      <w:r>
        <w:rPr>
          <w:rFonts w:hint="eastAsia" w:ascii="Times New Roman" w:hAnsi="Times New Roman" w:eastAsia="仿宋_GB2312"/>
          <w:sz w:val="32"/>
          <w:szCs w:val="32"/>
          <w:highlight w:val="none"/>
        </w:rPr>
        <w:t>（参考）</w:t>
      </w:r>
    </w:p>
    <w:p w14:paraId="7A48D7C8">
      <w:pPr>
        <w:pStyle w:val="2"/>
        <w:rPr>
          <w:rFonts w:hint="default" w:eastAsia="仿宋"/>
          <w:highlight w:val="none"/>
          <w:lang w:val="en-US" w:eastAsia="zh-CN"/>
        </w:rPr>
      </w:pPr>
      <w:r>
        <w:rPr>
          <w:rFonts w:hint="eastAsia" w:ascii="Times New Roman" w:hAnsi="Times New Roman" w:eastAsia="仿宋_GB2312"/>
          <w:sz w:val="32"/>
          <w:szCs w:val="32"/>
          <w:highlight w:val="none"/>
          <w:lang w:val="en-US" w:eastAsia="zh-CN"/>
        </w:rPr>
        <w:t xml:space="preserve">     4.部门（单位）项目支出绩效自评表（参考）</w:t>
      </w:r>
    </w:p>
    <w:p w14:paraId="4A657CAC">
      <w:pPr>
        <w:spacing w:after="120" w:line="360" w:lineRule="auto"/>
        <w:rPr>
          <w:rFonts w:eastAsia="仿宋_GB2312" w:cstheme="minorBidi"/>
          <w:sz w:val="30"/>
          <w:szCs w:val="30"/>
          <w:highlight w:val="none"/>
        </w:rPr>
      </w:pPr>
    </w:p>
    <w:p w14:paraId="079EEBEF">
      <w:pPr>
        <w:pStyle w:val="2"/>
        <w:rPr>
          <w:rFonts w:hint="default" w:eastAsia="仿宋_GB2312"/>
          <w:highlight w:val="none"/>
          <w:lang w:val="en-US" w:eastAsia="zh-CN"/>
        </w:rPr>
        <w:sectPr>
          <w:footerReference r:id="rId6" w:type="default"/>
          <w:pgSz w:w="11910" w:h="16840"/>
          <w:pgMar w:top="1580" w:right="1370" w:bottom="280" w:left="1500" w:header="720" w:footer="720" w:gutter="0"/>
          <w:pgNumType w:fmt="numberInDash" w:start="1"/>
          <w:cols w:space="720" w:num="1"/>
        </w:sectPr>
      </w:pPr>
      <w:r>
        <w:rPr>
          <w:rFonts w:hint="eastAsia" w:eastAsia="仿宋_GB2312" w:cstheme="minorBidi"/>
          <w:sz w:val="30"/>
          <w:szCs w:val="30"/>
          <w:highlight w:val="none"/>
          <w:lang w:val="en-US" w:eastAsia="zh-CN"/>
        </w:rPr>
        <w:t xml:space="preserve">   </w:t>
      </w:r>
    </w:p>
    <w:p w14:paraId="21D937D6">
      <w:pPr>
        <w:pStyle w:val="4"/>
        <w:tabs>
          <w:tab w:val="left" w:pos="6669"/>
        </w:tabs>
        <w:spacing w:after="0"/>
        <w:ind w:left="198"/>
        <w:rPr>
          <w:rFonts w:hint="eastAsia" w:eastAsia="仿宋_GB2312" w:cs="宋体"/>
          <w:sz w:val="52"/>
          <w:szCs w:val="52"/>
          <w:highlight w:val="none"/>
          <w:lang w:eastAsia="zh-CN"/>
        </w:rPr>
      </w:pPr>
      <w:bookmarkStart w:id="11" w:name="_Toc17776"/>
      <w:r>
        <w:rPr>
          <w:rFonts w:hint="eastAsia" w:ascii="仿宋_GB2312" w:eastAsia="仿宋_GB2312"/>
          <w:sz w:val="32"/>
          <w:szCs w:val="32"/>
          <w:highlight w:val="none"/>
        </w:rPr>
        <w:t>附件1.年度部门（单位）预算公开模板</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11"/>
    </w:p>
    <w:p w14:paraId="2BD74B40">
      <w:pPr>
        <w:spacing w:line="600" w:lineRule="exact"/>
        <w:jc w:val="left"/>
        <w:rPr>
          <w:rFonts w:ascii="Arial" w:hAnsi="Arial" w:eastAsia="Symbol"/>
          <w:b/>
          <w:bCs/>
          <w:sz w:val="32"/>
          <w:szCs w:val="32"/>
          <w:highlight w:val="none"/>
        </w:rPr>
      </w:pPr>
    </w:p>
    <w:p w14:paraId="753B7B6F">
      <w:pPr>
        <w:pStyle w:val="2"/>
        <w:rPr>
          <w:rFonts w:hint="default"/>
          <w:highlight w:val="none"/>
        </w:rPr>
      </w:pPr>
    </w:p>
    <w:p w14:paraId="0922E369">
      <w:pPr>
        <w:spacing w:line="600" w:lineRule="exact"/>
        <w:jc w:val="center"/>
        <w:rPr>
          <w:rFonts w:ascii="Arial" w:hAnsi="Arial" w:eastAsia="宋体"/>
          <w:b/>
          <w:bCs/>
          <w:sz w:val="32"/>
          <w:szCs w:val="32"/>
          <w:highlight w:val="none"/>
        </w:rPr>
      </w:pPr>
    </w:p>
    <w:p w14:paraId="08ECD06F">
      <w:pPr>
        <w:spacing w:line="600" w:lineRule="exact"/>
        <w:jc w:val="center"/>
        <w:rPr>
          <w:rFonts w:ascii="Arial" w:hAnsi="Arial" w:eastAsia="宋体"/>
          <w:b/>
          <w:bCs/>
          <w:sz w:val="32"/>
          <w:szCs w:val="32"/>
          <w:highlight w:val="none"/>
        </w:rPr>
      </w:pPr>
    </w:p>
    <w:p w14:paraId="4FF714B0">
      <w:pPr>
        <w:spacing w:line="600" w:lineRule="exact"/>
        <w:jc w:val="center"/>
        <w:rPr>
          <w:rFonts w:ascii="Arial" w:hAnsi="Arial" w:eastAsia="宋体"/>
          <w:b/>
          <w:bCs/>
          <w:sz w:val="32"/>
          <w:szCs w:val="32"/>
          <w:highlight w:val="none"/>
        </w:rPr>
      </w:pPr>
    </w:p>
    <w:p w14:paraId="1CF009F3">
      <w:pPr>
        <w:spacing w:line="600" w:lineRule="exact"/>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XX年度</w:t>
      </w:r>
      <w:r>
        <w:rPr>
          <w:rFonts w:hint="eastAsia" w:ascii="方正小标宋简体" w:hAnsi="方正小标宋简体" w:eastAsia="方正小标宋简体" w:cs="方正小标宋简体"/>
          <w:sz w:val="44"/>
          <w:szCs w:val="44"/>
          <w:highlight w:val="none"/>
          <w:u w:val="single"/>
        </w:rPr>
        <w:t>XX部门（单位）</w:t>
      </w:r>
      <w:r>
        <w:rPr>
          <w:rFonts w:hint="eastAsia" w:ascii="方正小标宋简体" w:hAnsi="方正小标宋简体" w:eastAsia="方正小标宋简体" w:cs="方正小标宋简体"/>
          <w:sz w:val="44"/>
          <w:szCs w:val="44"/>
          <w:highlight w:val="none"/>
        </w:rPr>
        <w:t>预算公开</w:t>
      </w:r>
    </w:p>
    <w:p w14:paraId="6747EF90">
      <w:pPr>
        <w:adjustRightInd w:val="0"/>
        <w:snapToGrid w:val="0"/>
        <w:spacing w:line="600" w:lineRule="exact"/>
        <w:ind w:firstLine="640"/>
        <w:rPr>
          <w:rFonts w:ascii="Times New Roman" w:hAnsi="Times New Roman" w:eastAsia="仿宋_GB2312"/>
          <w:sz w:val="32"/>
          <w:szCs w:val="32"/>
          <w:highlight w:val="none"/>
        </w:rPr>
      </w:pPr>
    </w:p>
    <w:p w14:paraId="50462F17">
      <w:pPr>
        <w:adjustRightInd w:val="0"/>
        <w:snapToGrid w:val="0"/>
        <w:spacing w:line="600" w:lineRule="exact"/>
        <w:ind w:firstLine="640"/>
        <w:rPr>
          <w:rFonts w:ascii="Times New Roman" w:hAnsi="Times New Roman" w:eastAsia="仿宋_GB2312"/>
          <w:sz w:val="32"/>
          <w:szCs w:val="32"/>
          <w:highlight w:val="none"/>
        </w:rPr>
      </w:pPr>
    </w:p>
    <w:p w14:paraId="5ABB2BBF">
      <w:pPr>
        <w:adjustRightInd w:val="0"/>
        <w:snapToGrid w:val="0"/>
        <w:spacing w:line="600" w:lineRule="exact"/>
        <w:ind w:firstLine="640"/>
        <w:rPr>
          <w:rFonts w:ascii="Times New Roman" w:hAnsi="Times New Roman" w:eastAsia="仿宋_GB2312"/>
          <w:sz w:val="32"/>
          <w:szCs w:val="32"/>
          <w:highlight w:val="none"/>
        </w:rPr>
      </w:pPr>
    </w:p>
    <w:p w14:paraId="1895F8BE">
      <w:pPr>
        <w:adjustRightInd w:val="0"/>
        <w:snapToGrid w:val="0"/>
        <w:spacing w:line="600" w:lineRule="exact"/>
        <w:ind w:firstLine="640"/>
        <w:rPr>
          <w:rFonts w:ascii="Times New Roman" w:hAnsi="Times New Roman" w:eastAsia="仿宋_GB2312"/>
          <w:sz w:val="32"/>
          <w:szCs w:val="32"/>
          <w:highlight w:val="none"/>
        </w:rPr>
      </w:pPr>
    </w:p>
    <w:p w14:paraId="6796B7B5">
      <w:pPr>
        <w:adjustRightInd w:val="0"/>
        <w:snapToGrid w:val="0"/>
        <w:spacing w:line="600" w:lineRule="exact"/>
        <w:ind w:firstLine="640"/>
        <w:rPr>
          <w:rFonts w:ascii="Times New Roman" w:hAnsi="Times New Roman" w:eastAsia="仿宋_GB2312"/>
          <w:sz w:val="32"/>
          <w:szCs w:val="32"/>
          <w:highlight w:val="none"/>
        </w:rPr>
      </w:pPr>
    </w:p>
    <w:p w14:paraId="7D1071B0">
      <w:pPr>
        <w:adjustRightInd w:val="0"/>
        <w:snapToGrid w:val="0"/>
        <w:spacing w:line="600" w:lineRule="exact"/>
        <w:ind w:firstLine="640"/>
        <w:rPr>
          <w:rFonts w:ascii="Times New Roman" w:hAnsi="Times New Roman" w:eastAsia="仿宋_GB2312"/>
          <w:sz w:val="32"/>
          <w:szCs w:val="32"/>
          <w:highlight w:val="none"/>
        </w:rPr>
      </w:pPr>
    </w:p>
    <w:p w14:paraId="7D35730D">
      <w:pPr>
        <w:adjustRightInd w:val="0"/>
        <w:snapToGrid w:val="0"/>
        <w:spacing w:line="600" w:lineRule="exact"/>
        <w:ind w:firstLine="640"/>
        <w:rPr>
          <w:rFonts w:ascii="Times New Roman" w:hAnsi="Times New Roman" w:eastAsia="仿宋_GB2312"/>
          <w:sz w:val="32"/>
          <w:szCs w:val="32"/>
          <w:highlight w:val="none"/>
        </w:rPr>
      </w:pPr>
    </w:p>
    <w:p w14:paraId="2218D1AF">
      <w:pPr>
        <w:adjustRightInd w:val="0"/>
        <w:snapToGrid w:val="0"/>
        <w:spacing w:line="600" w:lineRule="exact"/>
        <w:ind w:firstLine="640"/>
        <w:rPr>
          <w:rFonts w:ascii="Times New Roman" w:hAnsi="Times New Roman" w:eastAsia="仿宋_GB2312"/>
          <w:sz w:val="32"/>
          <w:szCs w:val="32"/>
          <w:highlight w:val="none"/>
        </w:rPr>
      </w:pPr>
    </w:p>
    <w:p w14:paraId="14B60DA7">
      <w:pPr>
        <w:adjustRightInd w:val="0"/>
        <w:snapToGrid w:val="0"/>
        <w:spacing w:line="600" w:lineRule="exact"/>
        <w:ind w:firstLine="640"/>
        <w:rPr>
          <w:rFonts w:ascii="Times New Roman" w:hAnsi="Times New Roman" w:eastAsia="仿宋_GB2312"/>
          <w:sz w:val="32"/>
          <w:szCs w:val="32"/>
          <w:highlight w:val="none"/>
        </w:rPr>
      </w:pPr>
    </w:p>
    <w:p w14:paraId="5C3FA5DF">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ascii="黑体" w:hAnsi="黑体" w:eastAsia="黑体" w:cs="黑体"/>
          <w:sz w:val="32"/>
          <w:szCs w:val="32"/>
          <w:highlight w:val="none"/>
          <w:u w:val="single"/>
        </w:rPr>
        <w:t xml:space="preserve">      年      月     日</w:t>
      </w:r>
    </w:p>
    <w:p w14:paraId="519F5E83">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年      月     日</w:t>
      </w:r>
    </w:p>
    <w:p w14:paraId="0DE95472">
      <w:pPr>
        <w:adjustRightInd w:val="0"/>
        <w:snapToGrid w:val="0"/>
        <w:spacing w:line="600" w:lineRule="exact"/>
        <w:jc w:val="left"/>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（注：公开时间与外网平台实际公开时间保持一致）</w:t>
      </w:r>
    </w:p>
    <w:p w14:paraId="44022C05">
      <w:pPr>
        <w:adjustRightInd w:val="0"/>
        <w:snapToGrid w:val="0"/>
        <w:spacing w:line="600" w:lineRule="exact"/>
        <w:jc w:val="left"/>
        <w:rPr>
          <w:highlight w:val="none"/>
        </w:rPr>
      </w:pPr>
      <w:r>
        <w:rPr>
          <w:rFonts w:hint="eastAsia" w:ascii="Times New Roman" w:hAnsi="Times New Roman" w:eastAsia="仿宋_GB2312"/>
          <w:sz w:val="32"/>
          <w:szCs w:val="32"/>
          <w:highlight w:val="none"/>
        </w:rPr>
        <w:t>（注：部门本级公开名称要+后缀“本级”，否则视同为部门汇总预算）</w:t>
      </w:r>
    </w:p>
    <w:p w14:paraId="261FE138">
      <w:pPr>
        <w:adjustRightInd w:val="0"/>
        <w:snapToGrid w:val="0"/>
        <w:spacing w:line="600" w:lineRule="exact"/>
        <w:ind w:firstLine="640"/>
        <w:rPr>
          <w:rFonts w:ascii="Times New Roman" w:hAnsi="Times New Roman" w:eastAsia="仿宋_GB2312"/>
          <w:sz w:val="32"/>
          <w:szCs w:val="32"/>
          <w:highlight w:val="none"/>
        </w:rPr>
      </w:pPr>
    </w:p>
    <w:p w14:paraId="1D8E5A7A">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14:paraId="36BD068E">
      <w:pPr>
        <w:rPr>
          <w:highlight w:val="none"/>
        </w:rPr>
      </w:pPr>
    </w:p>
    <w:p w14:paraId="5C64CA8A">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部门（单位）概况</w:t>
      </w:r>
    </w:p>
    <w:p w14:paraId="3F6A5FE2">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14:paraId="3189FC92">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二、部门（单位）机构设置及预算单位构成情况</w:t>
      </w:r>
    </w:p>
    <w:p w14:paraId="183BD66C">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年度部门（单位）主要工作任务及目标</w:t>
      </w:r>
    </w:p>
    <w:p w14:paraId="0AA65274">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第二部分 XX年度部门（单位）预算情况说明</w:t>
      </w:r>
    </w:p>
    <w:p w14:paraId="1917E1A5">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14:paraId="4AA67F3A">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14:paraId="664C730A">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14:paraId="6CB7FDC5">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14:paraId="6A8EE476">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14:paraId="6DF062B9">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14:paraId="315C9206">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14:paraId="22C58408">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14:paraId="2CC35874">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14:paraId="204D1411">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14:paraId="1D3A5D72">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14:paraId="0BD70870">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14:paraId="46BC2C93">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14:paraId="514D4A74">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14:paraId="0CD09713">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14:paraId="787CC83D">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14:paraId="57A76D55">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第五部分 XX年度部门（单位）预算表</w:t>
      </w:r>
    </w:p>
    <w:p w14:paraId="3176A7A0">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14:paraId="2612C39E">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14:paraId="179CF88D">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14:paraId="3D6DF394">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14:paraId="2BAE15F2">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14:paraId="60040A8D">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14:paraId="695B75F9">
      <w:pPr>
        <w:pStyle w:val="10"/>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14:paraId="41B4B4EF">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14:paraId="11645164">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14:paraId="45E3FE8C">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14:paraId="560751E5">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14:paraId="32658D37">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14:paraId="310A2E24">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特别强调1：每个公开位置要精准上传指定报表，切忌重复公开多个预算报表；没有数据的报表要上传空表，并在报表合计数处填“0”，同时在</w:t>
      </w:r>
      <w:r>
        <w:rPr>
          <w:rFonts w:hint="eastAsia" w:eastAsia="仿宋_GB2312" w:cstheme="minorBidi"/>
          <w:sz w:val="32"/>
          <w:szCs w:val="32"/>
          <w:highlight w:val="none"/>
          <w:lang w:val="en-US" w:eastAsia="zh-CN"/>
        </w:rPr>
        <w:t>报表下方说明空表原因</w:t>
      </w:r>
      <w:r>
        <w:rPr>
          <w:rFonts w:hint="eastAsia" w:eastAsia="仿宋_GB2312" w:cstheme="minorBidi"/>
          <w:sz w:val="32"/>
          <w:szCs w:val="32"/>
          <w:highlight w:val="none"/>
        </w:rPr>
        <w:t>。</w:t>
      </w:r>
    </w:p>
    <w:p w14:paraId="70CE57B2">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2</w:t>
      </w:r>
      <w:r>
        <w:rPr>
          <w:rFonts w:hint="eastAsia" w:eastAsia="仿宋_GB2312" w:cstheme="minorBidi"/>
          <w:sz w:val="32"/>
          <w:szCs w:val="32"/>
          <w:highlight w:val="none"/>
        </w:rPr>
        <w:t>：公开报表缩放比例要适当，最好保持在80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；报告、报表要美观清晰。</w:t>
      </w:r>
    </w:p>
    <w:p w14:paraId="08E6F38C">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3</w:t>
      </w:r>
      <w:r>
        <w:rPr>
          <w:rFonts w:hint="eastAsia" w:eastAsia="仿宋_GB2312" w:cstheme="minorBidi"/>
          <w:sz w:val="32"/>
          <w:szCs w:val="32"/>
          <w:highlight w:val="none"/>
        </w:rPr>
        <w:t>：公开报告不要“残留”模板内容。</w:t>
      </w:r>
    </w:p>
    <w:p w14:paraId="7EF4F65D">
      <w:pPr>
        <w:pStyle w:val="2"/>
        <w:rPr>
          <w:rFonts w:hint="default"/>
          <w:highlight w:val="none"/>
        </w:rPr>
      </w:pPr>
    </w:p>
    <w:p w14:paraId="4AF33F3C">
      <w:pPr>
        <w:pStyle w:val="2"/>
        <w:rPr>
          <w:rFonts w:hint="default"/>
          <w:highlight w:val="none"/>
        </w:rPr>
        <w:sectPr>
          <w:headerReference r:id="rId7" w:type="default"/>
          <w:footerReference r:id="rId8" w:type="default"/>
          <w:pgSz w:w="11910" w:h="16840"/>
          <w:pgMar w:top="1582" w:right="1680" w:bottom="278" w:left="1640" w:header="720" w:footer="720" w:gutter="0"/>
          <w:pgNumType w:fmt="numberInDash"/>
          <w:cols w:space="0" w:num="1"/>
        </w:sectPr>
      </w:pPr>
    </w:p>
    <w:p w14:paraId="48608862">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2" w:name="_Toc30742"/>
      <w:r>
        <w:rPr>
          <w:rFonts w:hint="eastAsia" w:ascii="方正小标宋简体" w:hAnsi="方正小标宋简体" w:eastAsia="方正小标宋简体" w:cs="方正小标宋简体"/>
          <w:b w:val="0"/>
          <w:bCs w:val="0"/>
          <w:sz w:val="36"/>
          <w:szCs w:val="36"/>
          <w:highlight w:val="none"/>
        </w:rPr>
        <w:t>第一部分  部门（单位）概况</w:t>
      </w:r>
      <w:bookmarkEnd w:id="12"/>
    </w:p>
    <w:p w14:paraId="0DE14EBD">
      <w:pPr>
        <w:spacing w:line="600" w:lineRule="exact"/>
        <w:rPr>
          <w:rFonts w:ascii="方正小标宋简体" w:hAnsi="方正小标宋简体" w:eastAsia="方正小标宋简体" w:cs="方正小标宋简体"/>
          <w:sz w:val="36"/>
          <w:szCs w:val="36"/>
          <w:highlight w:val="none"/>
        </w:rPr>
      </w:pPr>
    </w:p>
    <w:p w14:paraId="20E2A9AD">
      <w:pPr>
        <w:numPr>
          <w:ilvl w:val="0"/>
          <w:numId w:val="3"/>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14:paraId="14713F71">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部门（单位）公开的名称一定是全称并在报告和</w:t>
      </w:r>
      <w:r>
        <w:rPr>
          <w:rFonts w:hint="eastAsia" w:eastAsia="仿宋_GB2312" w:cstheme="minorBidi"/>
          <w:sz w:val="32"/>
          <w:szCs w:val="32"/>
          <w:highlight w:val="none"/>
          <w:lang w:val="en-US" w:eastAsia="zh-CN"/>
        </w:rPr>
        <w:t>报表</w:t>
      </w:r>
      <w:r>
        <w:rPr>
          <w:rFonts w:hint="eastAsia" w:eastAsia="仿宋_GB2312" w:cstheme="minorBidi"/>
          <w:sz w:val="32"/>
          <w:szCs w:val="32"/>
          <w:highlight w:val="none"/>
        </w:rPr>
        <w:t>中保持一致，如果由于机构变革导致名称等与上年度信息偏差较大，则在此应说明。</w:t>
      </w:r>
    </w:p>
    <w:p w14:paraId="36D37171">
      <w:pPr>
        <w:numPr>
          <w:ilvl w:val="0"/>
          <w:numId w:val="3"/>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部门（单位）机构设置及预算单位构成情况</w:t>
      </w:r>
    </w:p>
    <w:p w14:paraId="36900A07">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1．根据部门（单位）职责分工，本部门（单位）内设机构包括</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。本部门（单位）下属单位包括：</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。（注：如无下属单位，应写明“本部门（单位）无下属单位”）</w:t>
      </w:r>
    </w:p>
    <w:p w14:paraId="32D681A8">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2．从预算单位构成看，纳入本部门（单位）</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年部门汇总预算编制范围的预算单位共计</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家，具体包括：</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部门本级、</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60"/>
        <w:gridCol w:w="4600"/>
      </w:tblGrid>
      <w:tr w14:paraId="6864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6CBF472F">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3260" w:type="dxa"/>
            <w:vAlign w:val="center"/>
          </w:tcPr>
          <w:p w14:paraId="793EDCD6">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4600" w:type="dxa"/>
            <w:vAlign w:val="center"/>
          </w:tcPr>
          <w:p w14:paraId="7252918D">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14:paraId="77B0E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243B22B0">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1</w:t>
            </w:r>
          </w:p>
        </w:tc>
        <w:tc>
          <w:tcPr>
            <w:tcW w:w="3260" w:type="dxa"/>
          </w:tcPr>
          <w:p w14:paraId="7D2770AF">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74334312">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财政拨款的行政单位</w:t>
            </w:r>
          </w:p>
        </w:tc>
      </w:tr>
      <w:tr w14:paraId="53E2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14:paraId="67307B52">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2</w:t>
            </w:r>
          </w:p>
        </w:tc>
        <w:tc>
          <w:tcPr>
            <w:tcW w:w="3260" w:type="dxa"/>
          </w:tcPr>
          <w:p w14:paraId="3C7E8EB6">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1D53DD28">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参照公务员法管理的事业单位</w:t>
            </w:r>
          </w:p>
        </w:tc>
      </w:tr>
      <w:tr w14:paraId="77FF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5BB84069">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3</w:t>
            </w:r>
          </w:p>
        </w:tc>
        <w:tc>
          <w:tcPr>
            <w:tcW w:w="3260" w:type="dxa"/>
          </w:tcPr>
          <w:p w14:paraId="0F5232A0">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0F019150">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公益一类事业单位</w:t>
            </w:r>
          </w:p>
        </w:tc>
      </w:tr>
      <w:tr w14:paraId="266FE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14:paraId="5A4AC4C0">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4</w:t>
            </w:r>
          </w:p>
        </w:tc>
        <w:tc>
          <w:tcPr>
            <w:tcW w:w="3260" w:type="dxa"/>
          </w:tcPr>
          <w:p w14:paraId="07BB354D">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0ADDBA3E">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14:paraId="4C0F4444">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（注：本部门（单位）预算编报单位情况需列表说明本年度纳入部门（单位）预算编报单位的名称。无下级预算单位的部门（单位），也需列表说明预算编报单位情况，否则视同未公开</w:t>
      </w:r>
      <w:r>
        <w:rPr>
          <w:rFonts w:hint="eastAsia" w:eastAsia="仿宋_GB2312" w:cstheme="minorBidi"/>
          <w:sz w:val="32"/>
          <w:szCs w:val="32"/>
          <w:highlight w:val="none"/>
          <w:lang w:val="en-US" w:eastAsia="zh-CN"/>
        </w:rPr>
        <w:t>预算单位构成</w:t>
      </w:r>
      <w:r>
        <w:rPr>
          <w:rFonts w:hint="eastAsia" w:eastAsia="仿宋_GB2312" w:cstheme="minorBidi"/>
          <w:sz w:val="32"/>
          <w:szCs w:val="32"/>
          <w:highlight w:val="none"/>
        </w:rPr>
        <w:t>情况</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50C24920">
      <w:pPr>
        <w:numPr>
          <w:ilvl w:val="0"/>
          <w:numId w:val="3"/>
        </w:numPr>
        <w:spacing w:line="600" w:lineRule="exact"/>
        <w:ind w:left="17" w:leftChars="8" w:firstLine="624" w:firstLineChars="195"/>
        <w:outlineLvl w:val="2"/>
        <w:rPr>
          <w:rFonts w:eastAsia="黑体" w:cs="黑体"/>
          <w:sz w:val="32"/>
          <w:szCs w:val="36"/>
          <w:highlight w:val="none"/>
        </w:rPr>
      </w:pPr>
      <w:r>
        <w:rPr>
          <w:rFonts w:hint="eastAsia" w:ascii="仿宋_GB2312" w:hAnsi="仿宋_GB2312" w:eastAsia="黑体" w:cs="黑体"/>
          <w:sz w:val="32"/>
          <w:szCs w:val="36"/>
          <w:highlight w:val="none"/>
          <w:lang w:eastAsia="zh-CN"/>
        </w:rPr>
        <w:t>XX</w:t>
      </w:r>
      <w:r>
        <w:rPr>
          <w:rFonts w:hint="eastAsia" w:eastAsia="黑体" w:cs="黑体"/>
          <w:sz w:val="32"/>
          <w:szCs w:val="36"/>
          <w:highlight w:val="none"/>
        </w:rPr>
        <w:t>年度部门（单位）主要工作任务及目标</w:t>
      </w:r>
    </w:p>
    <w:p w14:paraId="4EBEF224">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3" w:name="_Toc21288"/>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XX年度部门（单位）预算情况说明</w:t>
      </w:r>
      <w:bookmarkEnd w:id="13"/>
    </w:p>
    <w:p w14:paraId="5CD9F8A5">
      <w:pPr>
        <w:spacing w:line="600" w:lineRule="exact"/>
        <w:rPr>
          <w:rFonts w:ascii="方正小标宋简体" w:hAnsi="方正小标宋简体" w:eastAsia="方正小标宋简体" w:cs="方正小标宋简体"/>
          <w:sz w:val="36"/>
          <w:szCs w:val="36"/>
          <w:highlight w:val="none"/>
        </w:rPr>
      </w:pPr>
    </w:p>
    <w:p w14:paraId="767407E0">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14:paraId="79B2CF10">
      <w:pPr>
        <w:pStyle w:val="10"/>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（依据“公开01表收支总表”中金额填列）</w:t>
      </w:r>
    </w:p>
    <w:p w14:paraId="2B15EB27">
      <w:pPr>
        <w:pStyle w:val="10"/>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万元，与上年相比收、支预算总计各增加（减少）</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万元，增长（减少）</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rPr>
        <w:t>%。其中：</w:t>
      </w:r>
    </w:p>
    <w:p w14:paraId="15F05096">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7226610F">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eastAsia="仿宋_GB2312"/>
          <w:sz w:val="32"/>
          <w:szCs w:val="32"/>
          <w:highlight w:val="none"/>
          <w:u w:val="single"/>
        </w:rPr>
        <w:t xml:space="preserve">    </w:t>
      </w:r>
      <w:r>
        <w:rPr>
          <w:rFonts w:eastAsia="仿宋_GB2312"/>
          <w:sz w:val="32"/>
          <w:szCs w:val="32"/>
          <w:highlight w:val="none"/>
        </w:rPr>
        <w:t>万元。</w:t>
      </w:r>
    </w:p>
    <w:p w14:paraId="5C1DE296">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（1）一般公共预算拨款收入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C89305A">
      <w:pPr>
        <w:pStyle w:val="10"/>
        <w:tabs>
          <w:tab w:val="left" w:pos="1389"/>
          <w:tab w:val="left" w:pos="4911"/>
          <w:tab w:val="left" w:pos="5991"/>
        </w:tabs>
        <w:spacing w:after="0" w:line="600" w:lineRule="exact"/>
        <w:ind w:firstLine="640" w:firstLineChars="200"/>
        <w:rPr>
          <w:rFonts w:eastAsia="仿宋_GB2312"/>
          <w:sz w:val="32"/>
          <w:szCs w:val="32"/>
          <w:highlight w:val="none"/>
        </w:rPr>
      </w:pPr>
      <w:r>
        <w:rPr>
          <w:rFonts w:eastAsia="仿宋_GB2312"/>
          <w:sz w:val="32"/>
          <w:szCs w:val="32"/>
          <w:highlight w:val="none"/>
        </w:rPr>
        <w:t>（2）政府性基金预算拨款收入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6BD7805">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（3）国有资本经营预算拨款收入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E83CBAF">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AAE0351">
      <w:pPr>
        <w:pStyle w:val="10"/>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6B9DFD9">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6DE0045">
      <w:pPr>
        <w:pStyle w:val="10"/>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ACD1085">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5BCD2F3">
      <w:pPr>
        <w:pStyle w:val="10"/>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2EA30521">
      <w:pPr>
        <w:pStyle w:val="10"/>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196C29D">
      <w:pPr>
        <w:pStyle w:val="10"/>
        <w:tabs>
          <w:tab w:val="left" w:pos="4275"/>
        </w:tabs>
        <w:spacing w:after="0" w:line="600" w:lineRule="exact"/>
        <w:ind w:firstLine="640" w:firstLineChars="200"/>
        <w:rPr>
          <w:rFonts w:ascii="仿宋_GB2312" w:hAnsi="仿宋_GB2312" w:eastAsia="仿宋_GB2312"/>
          <w:color w:val="FF0000"/>
          <w:sz w:val="32"/>
          <w:szCs w:val="24"/>
          <w:highlight w:val="none"/>
        </w:rPr>
      </w:pPr>
      <w:r>
        <w:rPr>
          <w:rFonts w:hint="eastAsia" w:ascii="仿宋_GB2312" w:hAnsi="仿宋_GB2312" w:eastAsia="仿宋_GB2312"/>
          <w:sz w:val="32"/>
          <w:szCs w:val="24"/>
          <w:highlight w:val="none"/>
        </w:rPr>
        <w:t>（该段内容根据部门实际情况，必须与上年进行比较并说明原因。</w:t>
      </w:r>
      <w:r>
        <w:rPr>
          <w:rFonts w:hint="eastAsia" w:ascii="仿宋_GB2312" w:hAnsi="仿宋_GB2312" w:eastAsia="仿宋_GB2312"/>
          <w:b w:val="0"/>
          <w:bCs w:val="0"/>
          <w:sz w:val="32"/>
          <w:szCs w:val="24"/>
          <w:highlight w:val="none"/>
        </w:rPr>
        <w:t>为零项不得删除，主要原因说明</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sz w:val="32"/>
          <w:szCs w:val="24"/>
          <w:highlight w:val="none"/>
        </w:rPr>
        <w:t>不存在此项内容</w:t>
      </w:r>
      <w:r>
        <w:rPr>
          <w:rFonts w:hint="eastAsia" w:ascii="仿宋_GB2312" w:hAnsi="仿宋_GB2312" w:eastAsia="仿宋_GB2312"/>
          <w:b w:val="0"/>
          <w:bCs w:val="0"/>
          <w:sz w:val="32"/>
          <w:szCs w:val="24"/>
          <w:highlight w:val="none"/>
          <w:lang w:eastAsia="zh-CN"/>
        </w:rPr>
        <w:t>”</w:t>
      </w:r>
      <w:r>
        <w:rPr>
          <w:rFonts w:hint="eastAsia" w:ascii="仿宋_GB2312" w:hAnsi="仿宋_GB2312" w:eastAsia="仿宋_GB2312"/>
          <w:b w:val="0"/>
          <w:bCs w:val="0"/>
          <w:sz w:val="32"/>
          <w:szCs w:val="24"/>
          <w:highlight w:val="none"/>
        </w:rPr>
        <w:t>。</w:t>
      </w:r>
      <w:r>
        <w:rPr>
          <w:rFonts w:hint="eastAsia" w:ascii="仿宋_GB2312" w:hAnsi="仿宋_GB2312" w:eastAsia="仿宋_GB2312"/>
          <w:sz w:val="32"/>
          <w:szCs w:val="24"/>
          <w:highlight w:val="none"/>
        </w:rPr>
        <w:t>）</w:t>
      </w:r>
    </w:p>
    <w:p w14:paraId="393B5FB0">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03A84122">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eastAsia="仿宋_GB2312"/>
          <w:sz w:val="32"/>
          <w:szCs w:val="32"/>
          <w:highlight w:val="none"/>
          <w:u w:val="single"/>
        </w:rPr>
        <w:t xml:space="preserve">     </w:t>
      </w:r>
      <w:r>
        <w:rPr>
          <w:rFonts w:eastAsia="仿宋_GB2312"/>
          <w:sz w:val="32"/>
          <w:szCs w:val="32"/>
          <w:highlight w:val="none"/>
        </w:rPr>
        <w:t>万元。</w:t>
      </w:r>
    </w:p>
    <w:p w14:paraId="118C88C8">
      <w:pPr>
        <w:pStyle w:val="10"/>
        <w:tabs>
          <w:tab w:val="left" w:pos="3288"/>
          <w:tab w:val="left" w:pos="5641"/>
          <w:tab w:val="left" w:pos="677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（1）一般公共服务（类）支出</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hAnsi="仿宋_GB2312" w:eastAsia="仿宋_GB2312"/>
          <w:sz w:val="32"/>
          <w:szCs w:val="32"/>
          <w:highlight w:val="none"/>
          <w:lang w:eastAsia="zh-CN"/>
        </w:rPr>
        <w:t>……</w:t>
      </w:r>
      <w:r>
        <w:rPr>
          <w:rFonts w:eastAsia="仿宋_GB2312"/>
          <w:sz w:val="32"/>
          <w:szCs w:val="32"/>
          <w:highlight w:val="none"/>
        </w:rPr>
        <w:t>。与上年相比增加（减少）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0B22334">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（2）公共安全（类）支出</w:t>
      </w:r>
      <w:r>
        <w:rPr>
          <w:rFonts w:eastAsia="仿宋_GB2312"/>
          <w:sz w:val="32"/>
          <w:szCs w:val="32"/>
          <w:highlight w:val="none"/>
          <w:u w:val="single"/>
        </w:rPr>
        <w:t xml:space="preserve">     </w:t>
      </w:r>
      <w:r>
        <w:rPr>
          <w:rFonts w:eastAsia="仿宋_GB2312"/>
          <w:sz w:val="32"/>
          <w:szCs w:val="32"/>
          <w:highlight w:val="none"/>
        </w:rPr>
        <w:t>万元，主要用于</w:t>
      </w:r>
      <w:r>
        <w:rPr>
          <w:rFonts w:hint="eastAsia" w:ascii="仿宋_GB2312" w:hAnsi="仿宋_GB2312" w:eastAsia="仿宋_GB2312"/>
          <w:sz w:val="32"/>
          <w:szCs w:val="32"/>
          <w:highlight w:val="none"/>
          <w:lang w:eastAsia="zh-CN"/>
        </w:rPr>
        <w:t>……</w:t>
      </w:r>
      <w:r>
        <w:rPr>
          <w:rFonts w:eastAsia="仿宋_GB2312"/>
          <w:sz w:val="32"/>
          <w:szCs w:val="32"/>
          <w:highlight w:val="none"/>
        </w:rPr>
        <w:t>。与上年相比增加（减少）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817F8E4">
      <w:pPr>
        <w:spacing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（按照“公开01表收支总表”中的功能分类明细项，并结合本部门（单位）具体实际予以解释。）</w:t>
      </w:r>
    </w:p>
    <w:p w14:paraId="3DAC4A7B">
      <w:pPr>
        <w:pStyle w:val="10"/>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eastAsia="仿宋_GB2312"/>
          <w:sz w:val="32"/>
          <w:szCs w:val="32"/>
          <w:highlight w:val="none"/>
          <w:u w:val="single"/>
        </w:rPr>
        <w:t xml:space="preserve">     </w:t>
      </w:r>
      <w:r>
        <w:rPr>
          <w:rFonts w:eastAsia="仿宋_GB2312"/>
          <w:sz w:val="32"/>
          <w:szCs w:val="32"/>
          <w:highlight w:val="none"/>
        </w:rPr>
        <w:t>万元，主要原因是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30E21B9">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14:paraId="1073287F">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（反映部门（单位）年度总体收入预算情况。填列总数应</w:t>
      </w:r>
      <w:r>
        <w:rPr>
          <w:rFonts w:hint="eastAsia" w:ascii="Times New Roman" w:hAnsi="Times New Roman" w:eastAsia="仿宋_GB2312" w:cs="仿宋"/>
          <w:sz w:val="32"/>
          <w:szCs w:val="32"/>
          <w:highlight w:val="none"/>
          <w:lang w:val="en-US" w:eastAsia="zh-CN"/>
        </w:rPr>
        <w:t>与</w:t>
      </w:r>
      <w:r>
        <w:rPr>
          <w:rFonts w:hint="eastAsia" w:ascii="Times New Roman" w:hAnsi="Times New Roman" w:eastAsia="仿宋_GB2312" w:cs="仿宋"/>
          <w:sz w:val="32"/>
          <w:szCs w:val="32"/>
          <w:highlight w:val="none"/>
        </w:rPr>
        <w:t>“公开01表收支总表”的收入总计数一致。）</w:t>
      </w:r>
    </w:p>
    <w:p w14:paraId="78B2E8AA">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万元，包括本年收入</w:t>
      </w:r>
      <w:r>
        <w:rPr>
          <w:rFonts w:eastAsia="仿宋_GB2312"/>
          <w:sz w:val="32"/>
          <w:szCs w:val="32"/>
          <w:highlight w:val="none"/>
          <w:u w:val="single"/>
        </w:rPr>
        <w:t xml:space="preserve">     </w:t>
      </w:r>
      <w:r>
        <w:rPr>
          <w:rFonts w:eastAsia="仿宋_GB2312"/>
          <w:sz w:val="32"/>
          <w:szCs w:val="32"/>
          <w:highlight w:val="none"/>
        </w:rPr>
        <w:t>万元，上年结转结余</w:t>
      </w:r>
      <w:r>
        <w:rPr>
          <w:rFonts w:eastAsia="仿宋_GB2312"/>
          <w:sz w:val="32"/>
          <w:szCs w:val="32"/>
          <w:highlight w:val="none"/>
          <w:u w:val="single"/>
        </w:rPr>
        <w:t xml:space="preserve">     </w:t>
      </w:r>
      <w:r>
        <w:rPr>
          <w:rFonts w:eastAsia="仿宋_GB2312"/>
          <w:sz w:val="32"/>
          <w:szCs w:val="32"/>
          <w:highlight w:val="none"/>
        </w:rPr>
        <w:t>万元。其中：</w:t>
      </w:r>
    </w:p>
    <w:p w14:paraId="23C54DA9">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A01E9EA">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6A52805">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92725D5">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B7631EA">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50E559B1">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535BC7C">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74869A4">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75683E9">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635C1D7">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4A49B058">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26FB9532">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00E9402">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CF7A97D">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3EFE2718">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（按照“公开表02表收入总表”中的明细项填列，为零项不得删除</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728D3D05">
      <w:pPr>
        <w:pStyle w:val="2"/>
        <w:tabs>
          <w:tab w:val="left" w:pos="0"/>
        </w:tabs>
        <w:ind w:left="0" w:leftChars="0" w:firstLine="0"/>
        <w:jc w:val="center"/>
        <w:rPr>
          <w:rFonts w:eastAsia="仿宋_GB2312"/>
          <w:sz w:val="32"/>
          <w:szCs w:val="32"/>
          <w:highlight w:val="none"/>
        </w:rPr>
      </w:pPr>
    </w:p>
    <w:p w14:paraId="518367CC">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14:paraId="397AE7F9">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p>
    <w:p w14:paraId="7DA6B472">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14:paraId="1EABF6CB">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（反映部门（单位）年度总体支出预算情况）</w:t>
      </w:r>
    </w:p>
    <w:p w14:paraId="1BDA7E77">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eastAsia="仿宋_GB2312"/>
          <w:sz w:val="32"/>
          <w:szCs w:val="32"/>
          <w:highlight w:val="none"/>
          <w:u w:val="single"/>
        </w:rPr>
        <w:t xml:space="preserve">     </w:t>
      </w:r>
      <w:r>
        <w:rPr>
          <w:rFonts w:eastAsia="仿宋_GB2312"/>
          <w:sz w:val="32"/>
          <w:szCs w:val="32"/>
          <w:highlight w:val="none"/>
        </w:rPr>
        <w:t>万元，其中</w:t>
      </w:r>
      <w:r>
        <w:rPr>
          <w:rFonts w:hint="eastAsia" w:eastAsia="仿宋_GB2312"/>
          <w:sz w:val="32"/>
          <w:szCs w:val="32"/>
          <w:highlight w:val="none"/>
          <w:lang w:eastAsia="zh-CN"/>
        </w:rPr>
        <w:t>：</w:t>
      </w:r>
    </w:p>
    <w:p w14:paraId="6F48B69A">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14:paraId="2943A290">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12046C8">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1C69A996">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eastAsia="仿宋_GB2312"/>
          <w:sz w:val="32"/>
          <w:szCs w:val="32"/>
          <w:highlight w:val="non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AE867AD">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对附属单位补助支出</w:t>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EFF5BD8">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（按照“公开03表支出总表”中的明细项填列，为零项不得删除）</w:t>
      </w:r>
    </w:p>
    <w:p w14:paraId="2A29D3D8">
      <w:pPr>
        <w:pStyle w:val="2"/>
        <w:ind w:left="0" w:leftChars="0" w:firstLine="220"/>
        <w:jc w:val="center"/>
        <w:rPr>
          <w:rFonts w:hint="default" w:eastAsia="仿宋_GB2312"/>
          <w:sz w:val="32"/>
          <w:szCs w:val="32"/>
          <w:highlight w:val="none"/>
        </w:rPr>
      </w:pPr>
    </w:p>
    <w:p w14:paraId="3D0D87EF">
      <w:pPr>
        <w:pStyle w:val="2"/>
        <w:ind w:left="0" w:leftChars="0" w:firstLine="220"/>
        <w:jc w:val="center"/>
        <w:rPr>
          <w:rFonts w:hint="default"/>
          <w:highlight w:val="none"/>
        </w:rPr>
      </w:pPr>
      <w:r>
        <w:rPr>
          <w:rFonts w:eastAsia="仿宋_GB2312"/>
          <w:sz w:val="32"/>
          <w:szCs w:val="32"/>
          <w:highlight w:val="none"/>
        </w:rPr>
        <w:t>图2.支出预算图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14:paraId="7E503192">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p>
    <w:p w14:paraId="578925CC">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14:paraId="7887731B">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（反映部门（单位）年度财政拨款总体收支预算情况）</w:t>
      </w:r>
    </w:p>
    <w:p w14:paraId="1F35560F">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年度财政拨款收、支总预算</w:t>
      </w:r>
      <w:r>
        <w:rPr>
          <w:rFonts w:eastAsia="仿宋_GB2312"/>
          <w:sz w:val="32"/>
          <w:szCs w:val="32"/>
          <w:highlight w:val="none"/>
          <w:u w:val="single"/>
        </w:rPr>
        <w:t xml:space="preserve">     </w:t>
      </w:r>
      <w:r>
        <w:rPr>
          <w:rFonts w:eastAsia="仿宋_GB2312"/>
          <w:sz w:val="32"/>
          <w:szCs w:val="32"/>
          <w:highlight w:val="none"/>
        </w:rPr>
        <w:t>万元。与上年相比，财政拨款收、支总计各增加（减少）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8F9262D">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（按照“公开04表财政拨款收支总表”中的明细项</w:t>
      </w:r>
      <w:r>
        <w:rPr>
          <w:rFonts w:hint="eastAsia" w:ascii="Times New Roman" w:hAnsi="Times New Roman" w:eastAsia="仿宋_GB2312" w:cs="仿宋"/>
          <w:sz w:val="32"/>
          <w:szCs w:val="32"/>
          <w:highlight w:val="none"/>
          <w:lang w:val="en-US" w:eastAsia="zh-CN"/>
        </w:rPr>
        <w:t>填列</w:t>
      </w:r>
      <w:r>
        <w:rPr>
          <w:rFonts w:hint="eastAsia" w:ascii="Times New Roman" w:hAnsi="Times New Roman" w:eastAsia="仿宋_GB2312" w:cs="仿宋"/>
          <w:sz w:val="32"/>
          <w:szCs w:val="32"/>
          <w:highlight w:val="none"/>
        </w:rPr>
        <w:t>，并结合本部门（单位）具体实际予以解释</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4A7EBBAD">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14:paraId="6313F3AF">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（反映部门（单位）年度一般公共预算支出预算安排情况）</w:t>
      </w:r>
    </w:p>
    <w:p w14:paraId="4C5921D5">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具体情况如下：</w:t>
      </w:r>
    </w:p>
    <w:p w14:paraId="6031AAEC">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（一）一般公共服务（类）</w:t>
      </w:r>
    </w:p>
    <w:p w14:paraId="58E9B6D1">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一般公共服务类年初预算数为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27BA562C">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1.人大事务（款）行政运行（项）。年初预算</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753FBD7">
      <w:pPr>
        <w:pStyle w:val="10"/>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2.</w:t>
      </w:r>
      <w:r>
        <w:rPr>
          <w:rFonts w:hint="eastAsia" w:ascii="仿宋_GB2312" w:hAnsi="仿宋_GB2312" w:eastAsia="仿宋_GB2312"/>
          <w:sz w:val="32"/>
          <w:szCs w:val="32"/>
          <w:highlight w:val="none"/>
          <w:lang w:eastAsia="zh-CN"/>
        </w:rPr>
        <w:t>……</w:t>
      </w:r>
    </w:p>
    <w:p w14:paraId="2AA646AA">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（二）公共安全（类）</w:t>
      </w:r>
    </w:p>
    <w:p w14:paraId="654E85BA">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公共安全类年初预算数为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1D4E49F1">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1．公安（款）行政运行（项）。年初预算</w:t>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66D8E875">
      <w:pPr>
        <w:pStyle w:val="10"/>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sz w:val="32"/>
          <w:szCs w:val="32"/>
          <w:highlight w:val="none"/>
          <w:lang w:eastAsia="zh-CN"/>
        </w:rPr>
        <w:t>……</w:t>
      </w:r>
    </w:p>
    <w:p w14:paraId="44F7ACFF">
      <w:pPr>
        <w:pStyle w:val="10"/>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（按照“公开05表一般公共预算支出表”中的功能分类“项”级科目</w:t>
      </w:r>
      <w:r>
        <w:rPr>
          <w:rFonts w:hint="eastAsia" w:ascii="Times New Roman" w:hAnsi="Times New Roman" w:eastAsia="仿宋_GB2312" w:cs="仿宋"/>
          <w:sz w:val="32"/>
          <w:szCs w:val="32"/>
          <w:highlight w:val="none"/>
          <w:lang w:val="en-US" w:eastAsia="zh-CN"/>
        </w:rPr>
        <w:t>填列</w:t>
      </w:r>
      <w:r>
        <w:rPr>
          <w:rFonts w:hint="eastAsia" w:ascii="Times New Roman" w:hAnsi="Times New Roman" w:eastAsia="仿宋_GB2312" w:cs="仿宋"/>
          <w:sz w:val="32"/>
          <w:szCs w:val="32"/>
          <w:highlight w:val="none"/>
        </w:rPr>
        <w:t>，并结合本部门（单位）实际情况予以解释</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7806EA3C">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14:paraId="3411F621">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（反映部门（单位）年度一般公共预算基本支出预算安排情况）</w:t>
      </w:r>
    </w:p>
    <w:p w14:paraId="372C01CF">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年度一般公共预算财政拨款基本支出预算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14:paraId="46EA4847">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。主要包括：基本工资、津贴补贴、奖金、伙食补助费、绩效工资、住房公积金、医疗费、其他工资福利支出、离休费、退休费、抚恤金、奖励金、其他对个人和家庭的补助等。</w:t>
      </w:r>
    </w:p>
    <w:p w14:paraId="3CA775EE">
      <w:pPr>
        <w:pStyle w:val="10"/>
        <w:spacing w:after="0" w:line="600" w:lineRule="exact"/>
        <w:ind w:left="17" w:leftChars="8"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（按“公开06表一般公共预算基本支出表”中经济分类支出事项填写）</w:t>
      </w:r>
    </w:p>
    <w:p w14:paraId="4B0DDF68">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14:paraId="775148F6">
      <w:pPr>
        <w:pStyle w:val="10"/>
        <w:spacing w:after="0" w:line="600" w:lineRule="exact"/>
        <w:ind w:left="17" w:leftChars="8"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（按“公开06表一般公共预算基本支出表”中经济分类支出事项填写）</w:t>
      </w:r>
    </w:p>
    <w:p w14:paraId="168EEEBC">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14:paraId="6FF0C70A">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（反映部门（单位）年度一般公共预算资金安排的“三公”经费情况）</w:t>
      </w:r>
    </w:p>
    <w:p w14:paraId="25699460">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年度一般公共预算拨款安排的“三公”经费预算支出</w:t>
      </w:r>
      <w:r>
        <w:rPr>
          <w:rFonts w:eastAsia="仿宋_GB2312"/>
          <w:sz w:val="32"/>
          <w:szCs w:val="32"/>
          <w:highlight w:val="none"/>
          <w:u w:val="single"/>
        </w:rPr>
        <w:tab/>
      </w:r>
      <w:r>
        <w:rPr>
          <w:rFonts w:eastAsia="仿宋_GB2312"/>
          <w:sz w:val="32"/>
          <w:szCs w:val="32"/>
          <w:highlight w:val="none"/>
        </w:rPr>
        <w:t>万元，其中因公出国（境）费支出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14:paraId="0D6CA37C">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6"/>
          <w:sz w:val="32"/>
          <w:szCs w:val="32"/>
          <w:highlight w:val="none"/>
        </w:rPr>
        <w:t>万元，</w:t>
      </w:r>
      <w:r>
        <w:rPr>
          <w:rFonts w:eastAsia="仿宋_GB2312"/>
          <w:sz w:val="32"/>
          <w:szCs w:val="32"/>
          <w:highlight w:val="none"/>
        </w:rPr>
        <w:t>增长（减少）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14:paraId="20699B67">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7362643F">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14:paraId="6A008874">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736D606">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 xml:space="preserve"> 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844E15F">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3F1DBD0F">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w:t>
      </w:r>
      <w:r>
        <w:rPr>
          <w:rFonts w:hint="eastAsia" w:eastAsia="仿宋_GB2312"/>
          <w:sz w:val="32"/>
          <w:szCs w:val="32"/>
          <w:highlight w:val="none"/>
          <w:lang w:eastAsia="zh-CN"/>
        </w:rPr>
        <w:t>“</w:t>
      </w:r>
      <w:r>
        <w:rPr>
          <w:rFonts w:hint="eastAsia" w:eastAsia="仿宋_GB2312"/>
          <w:sz w:val="32"/>
          <w:szCs w:val="32"/>
          <w:highlight w:val="none"/>
        </w:rPr>
        <w:t>三公</w:t>
      </w:r>
      <w:r>
        <w:rPr>
          <w:rFonts w:hint="eastAsia" w:eastAsia="仿宋_GB2312"/>
          <w:sz w:val="32"/>
          <w:szCs w:val="32"/>
          <w:highlight w:val="none"/>
          <w:lang w:eastAsia="zh-CN"/>
        </w:rPr>
        <w:t>”</w:t>
      </w:r>
      <w:r>
        <w:rPr>
          <w:rFonts w:hint="eastAsia" w:eastAsia="仿宋_GB2312"/>
          <w:sz w:val="32"/>
          <w:szCs w:val="32"/>
          <w:highlight w:val="none"/>
        </w:rPr>
        <w:t>经费如果为零也要分别填列说明</w:t>
      </w:r>
      <w:r>
        <w:rPr>
          <w:rFonts w:hint="eastAsia" w:eastAsia="仿宋_GB2312"/>
          <w:sz w:val="32"/>
          <w:szCs w:val="32"/>
          <w:highlight w:val="none"/>
          <w:lang w:eastAsia="zh-CN"/>
        </w:rPr>
        <w:t>，</w:t>
      </w:r>
      <w:r>
        <w:rPr>
          <w:rFonts w:hint="eastAsia" w:eastAsia="仿宋_GB2312"/>
          <w:sz w:val="32"/>
          <w:szCs w:val="32"/>
          <w:highlight w:val="none"/>
        </w:rPr>
        <w:t>不得删除内容</w:t>
      </w:r>
      <w:r>
        <w:rPr>
          <w:rFonts w:hint="eastAsia" w:eastAsia="仿宋_GB2312"/>
          <w:sz w:val="32"/>
          <w:szCs w:val="32"/>
          <w:highlight w:val="none"/>
          <w:lang w:eastAsia="zh-CN"/>
        </w:rPr>
        <w:t>。</w:t>
      </w:r>
      <w:r>
        <w:rPr>
          <w:rFonts w:hint="eastAsia" w:eastAsia="仿宋_GB2312"/>
          <w:sz w:val="32"/>
          <w:szCs w:val="32"/>
          <w:highlight w:val="none"/>
        </w:rPr>
        <w:t>）</w:t>
      </w:r>
    </w:p>
    <w:p w14:paraId="38FFC28F">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14:paraId="42031AD7">
      <w:pPr>
        <w:pStyle w:val="10"/>
        <w:spacing w:after="0" w:line="600" w:lineRule="exact"/>
        <w:ind w:left="17" w:leftChars="8"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（反映部门（单位）年度政府性基金支出预算安排情况）</w:t>
      </w:r>
    </w:p>
    <w:p w14:paraId="050AF844">
      <w:pPr>
        <w:pStyle w:val="10"/>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年度政府性基金支出预算支出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3B00CAB">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其中：</w:t>
      </w:r>
    </w:p>
    <w:p w14:paraId="199166D9">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1．城乡社区支出（类）政府住房基金及对应专项债务收入安排的支出（款）管理费用支出（项）支出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万元，主要是用于</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00734130">
      <w:pPr>
        <w:pStyle w:val="10"/>
        <w:spacing w:after="0" w:line="600" w:lineRule="exact"/>
        <w:ind w:left="17" w:leftChars="8" w:firstLine="640" w:firstLineChars="200"/>
        <w:rPr>
          <w:rFonts w:hint="eastAsia" w:eastAsia="仿宋_GB2312"/>
          <w:sz w:val="32"/>
          <w:szCs w:val="32"/>
          <w:highlight w:val="none"/>
          <w:lang w:eastAsia="zh-CN"/>
        </w:rPr>
      </w:pPr>
      <w:r>
        <w:rPr>
          <w:rFonts w:eastAsia="仿宋_GB2312"/>
          <w:sz w:val="32"/>
          <w:szCs w:val="32"/>
          <w:highlight w:val="none"/>
        </w:rPr>
        <w:t>2.</w:t>
      </w:r>
      <w:r>
        <w:rPr>
          <w:rFonts w:hint="eastAsia" w:ascii="仿宋_GB2312" w:hAnsi="仿宋_GB2312" w:eastAsia="仿宋_GB2312"/>
          <w:sz w:val="32"/>
          <w:szCs w:val="32"/>
          <w:highlight w:val="none"/>
          <w:lang w:eastAsia="zh-CN"/>
        </w:rPr>
        <w:t>……</w:t>
      </w:r>
    </w:p>
    <w:p w14:paraId="52D3E2B4">
      <w:pPr>
        <w:pStyle w:val="10"/>
        <w:spacing w:after="0" w:line="600" w:lineRule="exact"/>
        <w:ind w:left="17" w:leftChars="8"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08表政府性基金预算支出表”中支出功能分类“项”级科目，并结合部门实际情况分类填写；若不涉及政府性基金预算支出，上述总体情况也应说明，只是数据填列为“0”，同时在“主要原因”处说明“本年无政府性基金预算支出</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或</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本部门（单位）无政府性基金预算支出”</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620C39E7">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14:paraId="60FC9483">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lang w:val="en-US" w:eastAsia="zh-CN"/>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年度国有资本经营支出预算安排情况）</w:t>
      </w:r>
    </w:p>
    <w:p w14:paraId="2BDDB921">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万元。与上年相比增加（减少）</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万元，增长（减少）</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。主要原因</w:t>
      </w:r>
      <w:r>
        <w:rPr>
          <w:rFonts w:eastAsia="仿宋_GB2312"/>
          <w:sz w:val="32"/>
          <w:szCs w:val="32"/>
          <w:highlight w:val="none"/>
        </w:rPr>
        <w:t>.</w:t>
      </w:r>
      <w:r>
        <w:rPr>
          <w:rFonts w:hint="eastAsia" w:ascii="仿宋_GB2312" w:hAnsi="仿宋_GB2312" w:eastAsia="仿宋_GB2312"/>
          <w:sz w:val="32"/>
          <w:szCs w:val="32"/>
          <w:highlight w:val="none"/>
          <w:lang w:eastAsia="zh-CN"/>
        </w:rPr>
        <w:t>……</w:t>
      </w:r>
      <w:r>
        <w:rPr>
          <w:rFonts w:hint="eastAsia" w:eastAsia="仿宋_GB2312" w:cstheme="minorBidi"/>
          <w:sz w:val="32"/>
          <w:szCs w:val="32"/>
          <w:highlight w:val="none"/>
        </w:rPr>
        <w:t>。</w:t>
      </w:r>
    </w:p>
    <w:p w14:paraId="48139943">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其中：</w:t>
      </w:r>
    </w:p>
    <w:p w14:paraId="2C56AAF4">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1．国有资本经营预算支出（类）解决历史遗留问题及改革成本支出（款）“三供一业”移交补助支出（项）支出</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万元，主要是用于</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w:t>
      </w:r>
    </w:p>
    <w:p w14:paraId="2AD180F6">
      <w:pPr>
        <w:spacing w:line="600" w:lineRule="exact"/>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rPr>
        <w:t>2.</w:t>
      </w:r>
      <w:r>
        <w:rPr>
          <w:rFonts w:hint="eastAsia" w:ascii="仿宋_GB2312" w:hAnsi="仿宋_GB2312" w:eastAsia="仿宋_GB2312" w:cstheme="minorBidi"/>
          <w:sz w:val="32"/>
          <w:szCs w:val="32"/>
          <w:highlight w:val="none"/>
          <w:lang w:eastAsia="zh-CN"/>
        </w:rPr>
        <w:t>……</w:t>
      </w:r>
    </w:p>
    <w:p w14:paraId="79931B6F">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按“公开09表国有资本经营预算支出预算表”中支出功能分类“项”级科目，并结合部门实际情况分类填写。若不涉及国有资本经营预算支出，上述总体情况也应说明，只是数据填列为“0”，同时在“主要原因”处说明“本年无国有资本经营预算支出</w:t>
      </w:r>
      <w:r>
        <w:rPr>
          <w:rFonts w:hint="eastAsia" w:eastAsia="仿宋_GB2312" w:cstheme="minorBidi"/>
          <w:sz w:val="32"/>
          <w:szCs w:val="32"/>
          <w:highlight w:val="none"/>
          <w:lang w:eastAsia="zh-CN"/>
        </w:rPr>
        <w:t>”</w:t>
      </w:r>
      <w:r>
        <w:rPr>
          <w:rFonts w:hint="eastAsia" w:eastAsia="仿宋_GB2312" w:cstheme="minorBidi"/>
          <w:sz w:val="32"/>
          <w:szCs w:val="32"/>
          <w:highlight w:val="none"/>
        </w:rPr>
        <w:t>或</w:t>
      </w:r>
      <w:r>
        <w:rPr>
          <w:rFonts w:hint="eastAsia" w:eastAsia="仿宋_GB2312" w:cstheme="minorBidi"/>
          <w:sz w:val="32"/>
          <w:szCs w:val="32"/>
          <w:highlight w:val="none"/>
          <w:lang w:eastAsia="zh-CN"/>
        </w:rPr>
        <w:t>“</w:t>
      </w:r>
      <w:r>
        <w:rPr>
          <w:rFonts w:hint="eastAsia" w:eastAsia="仿宋_GB2312" w:cstheme="minorBidi"/>
          <w:sz w:val="32"/>
          <w:szCs w:val="32"/>
          <w:highlight w:val="none"/>
        </w:rPr>
        <w:t>本部门（单位）无国有资本经营预算支出”</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37ABE279">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1649383C">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（反映部门（单位）年度项目支出预算安排情况）</w:t>
      </w:r>
    </w:p>
    <w:p w14:paraId="20A676DC">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年度预算安排项目</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个，项目预算总金额</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p>
    <w:p w14:paraId="53939FF8">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（按照“公开10表项目支出表”内容，并结合部门</w:t>
      </w:r>
      <w:r>
        <w:rPr>
          <w:rFonts w:hint="eastAsia" w:eastAsia="仿宋_GB2312" w:cstheme="minorBidi"/>
          <w:sz w:val="32"/>
          <w:szCs w:val="32"/>
          <w:highlight w:val="none"/>
          <w:lang w:eastAsia="zh-CN"/>
        </w:rPr>
        <w:t>（</w:t>
      </w:r>
      <w:r>
        <w:rPr>
          <w:rFonts w:hint="eastAsia" w:eastAsia="仿宋_GB2312" w:cstheme="minorBidi"/>
          <w:sz w:val="32"/>
          <w:szCs w:val="32"/>
          <w:highlight w:val="none"/>
          <w:lang w:val="en-US" w:eastAsia="zh-CN"/>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实际情况分类填写</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0C491FE8">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14:paraId="71A160DF">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（反映所有部门（单位）年度</w:t>
      </w:r>
      <w:r>
        <w:rPr>
          <w:rFonts w:hint="eastAsia" w:eastAsia="仿宋_GB2312" w:cstheme="minorBidi"/>
          <w:sz w:val="32"/>
          <w:szCs w:val="32"/>
          <w:highlight w:val="none"/>
          <w:lang w:val="en-US" w:eastAsia="zh-CN"/>
        </w:rPr>
        <w:t>机构</w:t>
      </w:r>
      <w:r>
        <w:rPr>
          <w:rFonts w:hint="eastAsia" w:eastAsia="仿宋_GB2312" w:cstheme="minorBidi"/>
          <w:sz w:val="32"/>
          <w:szCs w:val="32"/>
          <w:highlight w:val="none"/>
        </w:rPr>
        <w:t>运行经费支出预算安排情况）</w:t>
      </w:r>
    </w:p>
    <w:p w14:paraId="6CA9A60E">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eastAsia="仿宋_GB2312"/>
          <w:sz w:val="32"/>
          <w:szCs w:val="32"/>
          <w:highlight w:val="none"/>
          <w:u w:val="single"/>
        </w:rPr>
        <w:tab/>
      </w:r>
      <w:r>
        <w:rPr>
          <w:rFonts w:eastAsia="仿宋_GB2312"/>
          <w:sz w:val="32"/>
          <w:szCs w:val="32"/>
          <w:highlight w:val="none"/>
        </w:rPr>
        <w:t>万元</w:t>
      </w:r>
      <w:r>
        <w:rPr>
          <w:rFonts w:hint="eastAsia" w:eastAsia="仿宋_GB2312" w:cstheme="minorBidi"/>
          <w:sz w:val="32"/>
          <w:szCs w:val="32"/>
          <w:highlight w:val="none"/>
        </w:rPr>
        <w:t>，</w:t>
      </w:r>
      <w:r>
        <w:rPr>
          <w:rFonts w:eastAsia="仿宋_GB2312"/>
          <w:color w:val="000000" w:themeColor="text1"/>
          <w:sz w:val="32"/>
          <w:szCs w:val="32"/>
          <w:highlight w:val="none"/>
          <w14:textFill>
            <w14:solidFill>
              <w14:schemeClr w14:val="tx1"/>
            </w14:solidFill>
          </w14:textFill>
        </w:rPr>
        <w:t>与</w:t>
      </w:r>
      <w:r>
        <w:rPr>
          <w:rFonts w:eastAsia="仿宋_GB2312"/>
          <w:sz w:val="32"/>
          <w:szCs w:val="32"/>
          <w:highlight w:val="none"/>
        </w:rPr>
        <w:t>上年相比增加（减少）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万元，增长（减少）</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eastAsia="zh-CN"/>
        </w:rPr>
        <w:t>……</w:t>
      </w:r>
      <w:r>
        <w:rPr>
          <w:rFonts w:eastAsia="仿宋_GB2312"/>
          <w:sz w:val="32"/>
          <w:szCs w:val="32"/>
          <w:highlight w:val="none"/>
        </w:rPr>
        <w:t>。</w:t>
      </w:r>
    </w:p>
    <w:p w14:paraId="21F2E194">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（具体增减原因由部门（单位）根据实际情况填列。</w:t>
      </w:r>
      <w:r>
        <w:rPr>
          <w:rFonts w:hint="eastAsia" w:eastAsia="仿宋_GB2312" w:cstheme="minorBidi"/>
          <w:sz w:val="32"/>
          <w:szCs w:val="32"/>
          <w:highlight w:val="none"/>
          <w:lang w:val="en-US" w:eastAsia="zh-CN"/>
        </w:rPr>
        <w:t>行政单位</w:t>
      </w:r>
      <w:r>
        <w:rPr>
          <w:rFonts w:hint="eastAsia" w:eastAsia="仿宋_GB2312" w:cstheme="minorBidi"/>
          <w:sz w:val="32"/>
          <w:szCs w:val="32"/>
          <w:highlight w:val="none"/>
        </w:rPr>
        <w:t>、</w:t>
      </w:r>
      <w:r>
        <w:rPr>
          <w:rFonts w:hint="eastAsia" w:eastAsia="仿宋_GB2312" w:cstheme="minorBidi"/>
          <w:sz w:val="32"/>
          <w:szCs w:val="32"/>
          <w:highlight w:val="none"/>
          <w:lang w:val="en-US" w:eastAsia="zh-CN"/>
        </w:rPr>
        <w:t>参照公务员法管理</w:t>
      </w:r>
      <w:r>
        <w:rPr>
          <w:rFonts w:hint="eastAsia" w:eastAsia="仿宋_GB2312" w:cstheme="minorBidi"/>
          <w:sz w:val="32"/>
          <w:szCs w:val="32"/>
          <w:highlight w:val="none"/>
        </w:rPr>
        <w:t>事业单位、其他事业单位的</w:t>
      </w:r>
      <w:r>
        <w:rPr>
          <w:rFonts w:hint="eastAsia" w:eastAsia="仿宋_GB2312" w:cstheme="minorBidi"/>
          <w:sz w:val="32"/>
          <w:szCs w:val="32"/>
          <w:highlight w:val="none"/>
          <w:lang w:val="en-US" w:eastAsia="zh-CN"/>
        </w:rPr>
        <w:t>机构</w:t>
      </w:r>
      <w:r>
        <w:rPr>
          <w:rFonts w:eastAsia="仿宋_GB2312" w:cstheme="minorBidi"/>
          <w:sz w:val="32"/>
          <w:szCs w:val="32"/>
          <w:highlight w:val="none"/>
        </w:rPr>
        <w:t>运行经费支出预算数应与</w:t>
      </w:r>
      <w:r>
        <w:rPr>
          <w:rFonts w:hint="eastAsia" w:eastAsia="仿宋_GB2312" w:cstheme="minorBidi"/>
          <w:sz w:val="32"/>
          <w:szCs w:val="32"/>
          <w:highlight w:val="none"/>
        </w:rPr>
        <w:t>“</w:t>
      </w:r>
      <w:r>
        <w:rPr>
          <w:rFonts w:eastAsia="仿宋_GB2312" w:cstheme="minorBidi"/>
          <w:sz w:val="32"/>
          <w:szCs w:val="32"/>
          <w:highlight w:val="none"/>
        </w:rPr>
        <w:t>公开05表一般公共预算支出表</w:t>
      </w:r>
      <w:r>
        <w:rPr>
          <w:rFonts w:hint="eastAsia" w:eastAsia="仿宋_GB2312" w:cstheme="minorBidi"/>
          <w:sz w:val="32"/>
          <w:szCs w:val="32"/>
          <w:highlight w:val="none"/>
        </w:rPr>
        <w:t>”</w:t>
      </w:r>
      <w:r>
        <w:rPr>
          <w:rFonts w:eastAsia="仿宋_GB2312" w:cstheme="minorBidi"/>
          <w:sz w:val="32"/>
          <w:szCs w:val="32"/>
          <w:highlight w:val="none"/>
        </w:rPr>
        <w:t>中“公用经费”</w:t>
      </w:r>
      <w:r>
        <w:rPr>
          <w:rFonts w:eastAsia="仿宋_GB2312" w:cstheme="minorBidi"/>
          <w:b w:val="0"/>
          <w:bCs w:val="0"/>
          <w:sz w:val="32"/>
          <w:szCs w:val="32"/>
          <w:highlight w:val="none"/>
        </w:rPr>
        <w:t>总额一致。所有行政、事业单位</w:t>
      </w:r>
      <w:r>
        <w:rPr>
          <w:rFonts w:hint="eastAsia" w:ascii="Times New Roman" w:hAnsi="Times New Roman" w:eastAsia="仿宋_GB2312" w:cs="仿宋"/>
          <w:b w:val="0"/>
          <w:bCs w:val="0"/>
          <w:sz w:val="32"/>
          <w:szCs w:val="32"/>
          <w:highlight w:val="none"/>
        </w:rPr>
        <w:t>都必须填</w:t>
      </w:r>
      <w:r>
        <w:rPr>
          <w:rFonts w:eastAsia="仿宋_GB2312" w:cstheme="minorBidi"/>
          <w:b w:val="0"/>
          <w:bCs w:val="0"/>
          <w:sz w:val="32"/>
          <w:szCs w:val="32"/>
          <w:highlight w:val="none"/>
        </w:rPr>
        <w:t>列此项内容。</w:t>
      </w:r>
      <w:r>
        <w:rPr>
          <w:rFonts w:hint="eastAsia" w:eastAsia="仿宋_GB2312" w:cstheme="minorBidi"/>
          <w:sz w:val="32"/>
          <w:szCs w:val="32"/>
          <w:highlight w:val="none"/>
        </w:rPr>
        <w:t>）</w:t>
      </w:r>
    </w:p>
    <w:p w14:paraId="79ADEDDA">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14:paraId="2D820B35">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（反映部门（单位）年度政府采购支出预算安排情况）</w:t>
      </w:r>
    </w:p>
    <w:p w14:paraId="698B6FAA">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年度政府采购支出预算总额</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万元，其中：拟采购货物支出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万元、拟采购工程支出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万元、拟购买服务支出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p>
    <w:p w14:paraId="0DBC3043">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（按照“公开1</w:t>
      </w:r>
      <w:r>
        <w:rPr>
          <w:rFonts w:hint="eastAsia" w:eastAsia="仿宋_GB2312" w:cstheme="minorBidi"/>
          <w:sz w:val="32"/>
          <w:szCs w:val="32"/>
          <w:highlight w:val="none"/>
          <w:lang w:val="en-US" w:eastAsia="zh-CN"/>
        </w:rPr>
        <w:t>2</w:t>
      </w:r>
      <w:r>
        <w:rPr>
          <w:rFonts w:hint="eastAsia" w:eastAsia="仿宋_GB2312" w:cstheme="minorBidi"/>
          <w:sz w:val="32"/>
          <w:szCs w:val="32"/>
          <w:highlight w:val="none"/>
        </w:rPr>
        <w:t>表政府采购预算表”内容，并结合部门实际情况分类填写</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3E361043">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十三、国有资产占用情况说明</w:t>
      </w:r>
    </w:p>
    <w:p w14:paraId="41C0FDEF">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eastAsia="仿宋_GB2312"/>
          <w:sz w:val="32"/>
          <w:szCs w:val="32"/>
          <w:highlight w:val="none"/>
          <w:u w:val="single"/>
        </w:rPr>
        <w:t>部门（单位）</w:t>
      </w:r>
      <w:r>
        <w:rPr>
          <w:rFonts w:eastAsia="仿宋_GB2312"/>
          <w:sz w:val="32"/>
          <w:szCs w:val="32"/>
          <w:highlight w:val="none"/>
        </w:rPr>
        <w:t>共有车辆</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辆，其中，一般公务用车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辆、执法执勤用车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辆、特种专业技术用车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辆、业务用车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辆、其他用车</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辆等。单价50万元（含）以上的通用设备</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台（套），单价100万元（含）以上的专用设备</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台（套）。</w:t>
      </w:r>
    </w:p>
    <w:p w14:paraId="1E4637C1">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 xml:space="preserve">十四、项目绩效目标情况说明 </w:t>
      </w:r>
    </w:p>
    <w:p w14:paraId="20780BBD">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个，公开项目占全部预算项目的100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rPr>
        <w:tab/>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万元，占全部项目预算的100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14:paraId="482B82B9">
      <w:pPr>
        <w:pStyle w:val="2"/>
        <w:spacing w:after="0" w:line="600" w:lineRule="exact"/>
        <w:rPr>
          <w:rFonts w:hint="default" w:ascii="方正小标宋简体" w:hAnsi="方正小标宋简体" w:eastAsia="方正小标宋简体" w:cs="方正小标宋简体"/>
          <w:sz w:val="36"/>
          <w:szCs w:val="36"/>
          <w:highlight w:val="none"/>
        </w:rPr>
      </w:pPr>
    </w:p>
    <w:p w14:paraId="7618CC91">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4" w:name="_Toc15573"/>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14"/>
    </w:p>
    <w:p w14:paraId="7A7B9DF2">
      <w:pPr>
        <w:rPr>
          <w:sz w:val="36"/>
          <w:szCs w:val="36"/>
          <w:highlight w:val="none"/>
        </w:rPr>
      </w:pPr>
    </w:p>
    <w:p w14:paraId="3A300084">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14:paraId="62446C29">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14:paraId="22C4BC8C">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14:paraId="0FDDE5E9">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544C97FE">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14:paraId="3F9F387E">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14:paraId="31E83AB9">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14:paraId="51CC056D">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14:paraId="6EC4783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FC602A7">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（各部门（单位）应根据公开预算表中对应的经费情况进行名词解释，对未涉及的名词可以删除</w:t>
      </w:r>
      <w:r>
        <w:rPr>
          <w:rFonts w:hint="eastAsia" w:eastAsia="仿宋_GB2312" w:cstheme="minorBidi"/>
          <w:sz w:val="32"/>
          <w:szCs w:val="32"/>
          <w:highlight w:val="none"/>
          <w:lang w:eastAsia="zh-CN"/>
        </w:rPr>
        <w:t>。</w:t>
      </w:r>
      <w:r>
        <w:rPr>
          <w:rFonts w:hint="eastAsia" w:eastAsia="仿宋_GB2312" w:cstheme="minorBidi"/>
          <w:sz w:val="32"/>
          <w:szCs w:val="32"/>
          <w:highlight w:val="none"/>
        </w:rPr>
        <w:t>）</w:t>
      </w:r>
    </w:p>
    <w:p w14:paraId="652B6B1D">
      <w:pPr>
        <w:spacing w:line="600" w:lineRule="exact"/>
        <w:jc w:val="center"/>
        <w:rPr>
          <w:rFonts w:ascii="方正小标宋简体" w:hAnsi="方正小标宋简体" w:eastAsia="方正小标宋简体" w:cs="方正小标宋简体"/>
          <w:sz w:val="36"/>
          <w:szCs w:val="36"/>
          <w:highlight w:val="none"/>
        </w:rPr>
      </w:pPr>
    </w:p>
    <w:p w14:paraId="6C80BB15">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5" w:name="_Toc21331"/>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15"/>
    </w:p>
    <w:p w14:paraId="1447EEE4">
      <w:pPr>
        <w:snapToGrid w:val="0"/>
        <w:spacing w:line="600" w:lineRule="exact"/>
        <w:rPr>
          <w:rFonts w:ascii="方正小标宋简体" w:hAnsi="方正小标宋简体" w:eastAsia="方正小标宋简体" w:cs="方正小标宋简体"/>
          <w:sz w:val="36"/>
          <w:szCs w:val="36"/>
          <w:highlight w:val="none"/>
        </w:rPr>
      </w:pPr>
    </w:p>
    <w:p w14:paraId="58BA5457">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14:paraId="42A57819">
      <w:pPr>
        <w:snapToGrid w:val="0"/>
        <w:spacing w:line="600" w:lineRule="exact"/>
        <w:ind w:firstLine="640" w:firstLineChars="200"/>
        <w:rPr>
          <w:rFonts w:ascii="仿宋_GB2312" w:hAnsi="仿宋_GB2312" w:eastAsia="仿宋_GB2312" w:cs="仿宋_GB2312"/>
          <w:sz w:val="32"/>
          <w:szCs w:val="32"/>
          <w:highlight w:val="none"/>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highlight w:val="none"/>
        </w:rPr>
        <w:t>联系人：               联系电话：</w:t>
      </w:r>
    </w:p>
    <w:p w14:paraId="4C544757">
      <w:pPr>
        <w:pStyle w:val="5"/>
        <w:tabs>
          <w:tab w:val="left" w:pos="4392"/>
        </w:tabs>
        <w:adjustRightInd/>
        <w:snapToGrid/>
        <w:spacing w:before="0" w:after="0" w:line="600" w:lineRule="exact"/>
        <w:ind w:firstLine="0" w:firstLineChars="0"/>
        <w:jc w:val="center"/>
        <w:rPr>
          <w:rFonts w:ascii="宋体"/>
          <w:highlight w:val="none"/>
        </w:rPr>
        <w:sectPr>
          <w:footerReference r:id="rId9" w:type="default"/>
          <w:pgSz w:w="16840" w:h="11910" w:orient="landscape"/>
          <w:pgMar w:top="1100" w:right="1361" w:bottom="280" w:left="1760" w:header="720" w:footer="720" w:gutter="0"/>
          <w:pgNumType w:fmt="numberInDash"/>
          <w:cols w:space="720" w:num="1"/>
        </w:sectPr>
      </w:pPr>
      <w:bookmarkStart w:id="16" w:name="_Toc2232"/>
      <w:r>
        <w:rPr>
          <w:rFonts w:hint="eastAsia" w:ascii="方正小标宋简体" w:hAnsi="方正小标宋简体" w:eastAsia="方正小标宋简体" w:cs="方正小标宋简体"/>
          <w:b w:val="0"/>
          <w:bCs w:val="0"/>
          <w:sz w:val="36"/>
          <w:szCs w:val="36"/>
          <w:highlight w:val="none"/>
        </w:rPr>
        <w:t>第五部分  XX年度XX部门（单位）</w:t>
      </w:r>
      <w:bookmarkEnd w:id="16"/>
    </w:p>
    <w:p w14:paraId="3AD22EC5">
      <w:pPr>
        <w:spacing w:line="600" w:lineRule="exact"/>
        <w:jc w:val="both"/>
        <w:outlineLvl w:val="0"/>
        <w:rPr>
          <w:rFonts w:ascii="方正小标宋简体" w:hAnsi="方正小标宋简体" w:eastAsia="方正小标宋简体" w:cs="方正小标宋简体"/>
          <w:b/>
          <w:bCs/>
          <w:spacing w:val="28"/>
          <w:sz w:val="36"/>
          <w:szCs w:val="36"/>
          <w:highlight w:val="none"/>
        </w:rPr>
        <w:sectPr>
          <w:footerReference r:id="rId10" w:type="default"/>
          <w:pgSz w:w="16840" w:h="11910" w:orient="landscape"/>
          <w:pgMar w:top="1100" w:right="860" w:bottom="280" w:left="1040" w:header="720" w:footer="720" w:gutter="0"/>
          <w:pgNumType w:fmt="numberInDash"/>
          <w:cols w:space="720" w:num="1"/>
        </w:sectPr>
      </w:pPr>
    </w:p>
    <w:p w14:paraId="4AF007EA">
      <w:pPr>
        <w:spacing w:line="600" w:lineRule="exact"/>
        <w:rPr>
          <w:rFonts w:eastAsia="仿宋_GB2312" w:cstheme="minorBidi"/>
          <w:sz w:val="30"/>
          <w:szCs w:val="30"/>
          <w:highlight w:val="none"/>
        </w:rPr>
      </w:pPr>
    </w:p>
    <w:p w14:paraId="073877CA">
      <w:pPr>
        <w:spacing w:after="120" w:line="360" w:lineRule="auto"/>
        <w:rPr>
          <w:rFonts w:eastAsia="仿宋_GB2312" w:cstheme="minorBidi"/>
          <w:sz w:val="30"/>
          <w:szCs w:val="30"/>
          <w:highlight w:val="none"/>
        </w:rPr>
        <w:sectPr>
          <w:pgSz w:w="16840" w:h="11910" w:orient="landscape"/>
          <w:pgMar w:top="1080" w:right="1134" w:bottom="1080" w:left="1134" w:header="720" w:footer="720" w:gutter="0"/>
          <w:pgNumType w:fmt="numberInDash"/>
          <w:cols w:space="720" w:num="1"/>
          <w:docGrid w:linePitch="286" w:charSpace="0"/>
        </w:sectPr>
      </w:pPr>
    </w:p>
    <w:p w14:paraId="61248C28">
      <w:pPr>
        <w:pStyle w:val="4"/>
        <w:tabs>
          <w:tab w:val="left" w:pos="6669"/>
        </w:tabs>
        <w:ind w:left="198"/>
        <w:rPr>
          <w:rFonts w:hint="eastAsia" w:ascii="仿宋_GB2312" w:eastAsia="仿宋_GB2312"/>
          <w:sz w:val="32"/>
          <w:szCs w:val="32"/>
          <w:highlight w:val="none"/>
          <w:lang w:eastAsia="zh-CN"/>
        </w:rPr>
      </w:pPr>
      <w:bookmarkStart w:id="17" w:name="_Toc25503"/>
      <w:r>
        <w:rPr>
          <w:rFonts w:hint="eastAsia" w:ascii="仿宋_GB2312" w:eastAsia="仿宋_GB2312"/>
          <w:sz w:val="32"/>
          <w:szCs w:val="32"/>
          <w:highlight w:val="none"/>
        </w:rPr>
        <w:t>附件2.年度部门（单位）决算公开模板</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17"/>
    </w:p>
    <w:p w14:paraId="0E8675B9">
      <w:pPr>
        <w:rPr>
          <w:rFonts w:ascii="仿宋_GB2312" w:eastAsia="仿宋_GB2312"/>
          <w:sz w:val="32"/>
          <w:szCs w:val="32"/>
          <w:highlight w:val="none"/>
        </w:rPr>
      </w:pPr>
    </w:p>
    <w:p w14:paraId="19E76AFC">
      <w:pPr>
        <w:pStyle w:val="2"/>
        <w:rPr>
          <w:rFonts w:hint="default" w:ascii="仿宋_GB2312" w:eastAsia="仿宋_GB2312"/>
          <w:sz w:val="32"/>
          <w:szCs w:val="32"/>
          <w:highlight w:val="none"/>
        </w:rPr>
      </w:pPr>
    </w:p>
    <w:p w14:paraId="3C59DD69">
      <w:pPr>
        <w:pStyle w:val="2"/>
        <w:rPr>
          <w:rFonts w:hint="default" w:ascii="仿宋_GB2312" w:eastAsia="仿宋_GB2312"/>
          <w:sz w:val="32"/>
          <w:szCs w:val="32"/>
          <w:highlight w:val="none"/>
        </w:rPr>
      </w:pPr>
    </w:p>
    <w:p w14:paraId="737F5BA5">
      <w:pPr>
        <w:pStyle w:val="2"/>
        <w:rPr>
          <w:rFonts w:hint="default" w:ascii="仿宋_GB2312" w:eastAsia="仿宋_GB2312"/>
          <w:sz w:val="32"/>
          <w:szCs w:val="32"/>
          <w:highlight w:val="none"/>
        </w:rPr>
      </w:pPr>
    </w:p>
    <w:p w14:paraId="2EF65C01">
      <w:pPr>
        <w:pStyle w:val="2"/>
        <w:rPr>
          <w:rFonts w:hint="default" w:ascii="仿宋_GB2312" w:eastAsia="仿宋_GB2312"/>
          <w:sz w:val="32"/>
          <w:szCs w:val="32"/>
          <w:highlight w:val="none"/>
        </w:rPr>
      </w:pPr>
    </w:p>
    <w:p w14:paraId="1A6DBAF9">
      <w:pPr>
        <w:pStyle w:val="2"/>
        <w:rPr>
          <w:rFonts w:hint="default" w:ascii="仿宋_GB2312" w:eastAsia="仿宋_GB2312"/>
          <w:sz w:val="32"/>
          <w:szCs w:val="32"/>
          <w:highlight w:val="none"/>
        </w:rPr>
      </w:pPr>
    </w:p>
    <w:p w14:paraId="5F153D71">
      <w:pPr>
        <w:keepNext/>
        <w:keepLines/>
        <w:tabs>
          <w:tab w:val="left" w:pos="6669"/>
        </w:tabs>
        <w:ind w:left="198"/>
        <w:jc w:val="center"/>
        <w:rPr>
          <w:b/>
          <w:bCs/>
          <w:sz w:val="52"/>
          <w:szCs w:val="52"/>
          <w:highlight w:val="none"/>
        </w:rPr>
      </w:pPr>
      <w:r>
        <w:rPr>
          <w:rFonts w:hint="eastAsia" w:ascii="方正小标宋简体" w:hAnsi="方正小标宋简体" w:eastAsia="方正小标宋简体" w:cs="方正小标宋简体"/>
          <w:sz w:val="44"/>
          <w:szCs w:val="44"/>
          <w:highlight w:val="none"/>
        </w:rPr>
        <w:t>XX年度</w:t>
      </w:r>
      <w:r>
        <w:rPr>
          <w:rFonts w:hint="eastAsia" w:ascii="方正小标宋简体" w:hAnsi="方正小标宋简体" w:eastAsia="方正小标宋简体" w:cs="方正小标宋简体"/>
          <w:sz w:val="44"/>
          <w:szCs w:val="44"/>
          <w:highlight w:val="none"/>
          <w:u w:val="single"/>
        </w:rPr>
        <w:t>XX部门（单位）</w:t>
      </w:r>
      <w:r>
        <w:rPr>
          <w:rFonts w:hint="eastAsia" w:ascii="方正小标宋简体" w:hAnsi="方正小标宋简体" w:eastAsia="方正小标宋简体" w:cs="方正小标宋简体"/>
          <w:sz w:val="44"/>
          <w:szCs w:val="44"/>
          <w:highlight w:val="none"/>
        </w:rPr>
        <w:t>决算公开</w:t>
      </w:r>
    </w:p>
    <w:p w14:paraId="2DBC58A5">
      <w:pPr>
        <w:rPr>
          <w:highlight w:val="none"/>
        </w:rPr>
      </w:pPr>
    </w:p>
    <w:p w14:paraId="5274B7CC">
      <w:pPr>
        <w:pStyle w:val="2"/>
        <w:rPr>
          <w:rFonts w:hint="default"/>
          <w:highlight w:val="none"/>
        </w:rPr>
      </w:pPr>
    </w:p>
    <w:p w14:paraId="219A27F1">
      <w:pPr>
        <w:pStyle w:val="2"/>
        <w:rPr>
          <w:rFonts w:hint="default"/>
          <w:highlight w:val="none"/>
        </w:rPr>
      </w:pPr>
    </w:p>
    <w:p w14:paraId="4266E4A7">
      <w:pPr>
        <w:pStyle w:val="2"/>
        <w:rPr>
          <w:rFonts w:hint="default"/>
          <w:highlight w:val="none"/>
        </w:rPr>
      </w:pPr>
    </w:p>
    <w:p w14:paraId="3DDC4334">
      <w:pPr>
        <w:pStyle w:val="2"/>
        <w:rPr>
          <w:rFonts w:hint="default"/>
          <w:highlight w:val="none"/>
        </w:rPr>
      </w:pPr>
    </w:p>
    <w:p w14:paraId="0270BAB0">
      <w:pPr>
        <w:pStyle w:val="2"/>
        <w:rPr>
          <w:rFonts w:hint="default"/>
          <w:highlight w:val="none"/>
        </w:rPr>
      </w:pPr>
    </w:p>
    <w:p w14:paraId="5449DBF2">
      <w:pPr>
        <w:pStyle w:val="2"/>
        <w:rPr>
          <w:rFonts w:hint="default"/>
          <w:highlight w:val="none"/>
        </w:rPr>
      </w:pPr>
    </w:p>
    <w:p w14:paraId="68DE8CF2">
      <w:pPr>
        <w:pStyle w:val="2"/>
        <w:rPr>
          <w:rFonts w:hint="default"/>
          <w:highlight w:val="none"/>
        </w:rPr>
      </w:pPr>
    </w:p>
    <w:p w14:paraId="3B27A82A">
      <w:pPr>
        <w:pStyle w:val="2"/>
        <w:rPr>
          <w:rFonts w:hint="default"/>
          <w:highlight w:val="none"/>
        </w:rPr>
      </w:pPr>
    </w:p>
    <w:p w14:paraId="0695574B">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ascii="黑体" w:hAnsi="黑体" w:eastAsia="黑体" w:cs="黑体"/>
          <w:sz w:val="32"/>
          <w:szCs w:val="32"/>
          <w:highlight w:val="none"/>
          <w:u w:val="single"/>
        </w:rPr>
        <w:t xml:space="preserve">      年      月     日</w:t>
      </w:r>
    </w:p>
    <w:p w14:paraId="2DB44B56">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年      月     日</w:t>
      </w:r>
    </w:p>
    <w:p w14:paraId="51E199CD">
      <w:pPr>
        <w:adjustRightInd w:val="0"/>
        <w:snapToGrid w:val="0"/>
        <w:spacing w:line="600" w:lineRule="exact"/>
        <w:ind w:firstLine="960" w:firstLineChars="300"/>
        <w:jc w:val="left"/>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（注：公开时间与外网平台实际公开时间保持一致）</w:t>
      </w:r>
    </w:p>
    <w:p w14:paraId="2BBCAF09">
      <w:pPr>
        <w:adjustRightInd w:val="0"/>
        <w:snapToGrid w:val="0"/>
        <w:spacing w:line="600" w:lineRule="exact"/>
        <w:ind w:firstLine="960" w:firstLineChars="300"/>
        <w:jc w:val="left"/>
        <w:rPr>
          <w:rFonts w:ascii="Times New Roman" w:hAnsi="Times New Roman" w:eastAsia="仿宋_GB2312"/>
          <w:sz w:val="32"/>
          <w:szCs w:val="32"/>
          <w:highlight w:val="none"/>
        </w:rPr>
        <w:sectPr>
          <w:footerReference r:id="rId11" w:type="default"/>
          <w:pgSz w:w="11910" w:h="16840"/>
          <w:pgMar w:top="1580" w:right="1560" w:bottom="280" w:left="1480" w:header="720" w:footer="720" w:gutter="0"/>
          <w:pgNumType w:fmt="numberInDash"/>
          <w:cols w:space="720" w:num="1"/>
        </w:sectPr>
      </w:pPr>
      <w:r>
        <w:rPr>
          <w:rFonts w:hint="eastAsia" w:ascii="Times New Roman" w:hAnsi="Times New Roman" w:eastAsia="仿宋_GB2312"/>
          <w:sz w:val="32"/>
          <w:szCs w:val="32"/>
          <w:highlight w:val="none"/>
        </w:rPr>
        <w:t>（注：部门本级公开名称要+后缀“本级”，否则视同为部门汇总</w:t>
      </w:r>
      <w:r>
        <w:rPr>
          <w:rFonts w:hint="eastAsia" w:ascii="Times New Roman" w:hAnsi="Times New Roman" w:eastAsia="仿宋_GB2312"/>
          <w:sz w:val="32"/>
          <w:szCs w:val="32"/>
          <w:highlight w:val="none"/>
          <w:lang w:val="en-US" w:eastAsia="zh-CN"/>
        </w:rPr>
        <w:t>决算</w:t>
      </w:r>
      <w:r>
        <w:rPr>
          <w:rFonts w:hint="eastAsia" w:ascii="Times New Roman" w:hAnsi="Times New Roman" w:eastAsia="仿宋_GB2312"/>
          <w:sz w:val="32"/>
          <w:szCs w:val="32"/>
          <w:highlight w:val="none"/>
        </w:rPr>
        <w:t>）</w:t>
      </w:r>
    </w:p>
    <w:p w14:paraId="0AAE6B5C">
      <w:pPr>
        <w:pStyle w:val="10"/>
        <w:spacing w:before="3"/>
        <w:ind w:firstLine="200"/>
        <w:rPr>
          <w:sz w:val="10"/>
          <w:highlight w:val="none"/>
        </w:rPr>
      </w:pPr>
    </w:p>
    <w:p w14:paraId="1633F507">
      <w:pPr>
        <w:jc w:val="center"/>
        <w:rPr>
          <w:b/>
          <w:bCs/>
          <w:sz w:val="48"/>
          <w:szCs w:val="48"/>
          <w:highlight w:val="none"/>
        </w:rPr>
      </w:pPr>
      <w:r>
        <w:rPr>
          <w:b/>
          <w:bCs/>
          <w:sz w:val="48"/>
          <w:szCs w:val="48"/>
          <w:highlight w:val="none"/>
        </w:rPr>
        <w:t>目</w:t>
      </w:r>
      <w:r>
        <w:rPr>
          <w:b/>
          <w:bCs/>
          <w:sz w:val="48"/>
          <w:szCs w:val="48"/>
          <w:highlight w:val="none"/>
        </w:rPr>
        <w:tab/>
      </w:r>
      <w:r>
        <w:rPr>
          <w:b/>
          <w:bCs/>
          <w:sz w:val="48"/>
          <w:szCs w:val="48"/>
          <w:highlight w:val="none"/>
        </w:rPr>
        <w:t>录</w:t>
      </w:r>
    </w:p>
    <w:p w14:paraId="403402AA">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第一部分 部门（单位）概况</w:t>
      </w:r>
    </w:p>
    <w:p w14:paraId="2B9C61F5">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一、主要职能、职责</w:t>
      </w:r>
    </w:p>
    <w:p w14:paraId="1297376E">
      <w:pPr>
        <w:pStyle w:val="10"/>
        <w:tabs>
          <w:tab w:val="left" w:pos="994"/>
        </w:tabs>
        <w:spacing w:before="6" w:line="235" w:lineRule="auto"/>
        <w:ind w:right="1670"/>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二、部门（单位）机构设置及决算单位构成情况</w:t>
      </w:r>
    </w:p>
    <w:p w14:paraId="20529D23">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第二部分 XX年度部门（单位）决算情况说明</w:t>
      </w:r>
    </w:p>
    <w:p w14:paraId="56997AD8">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一、收入支出决算总体情况说明</w:t>
      </w:r>
    </w:p>
    <w:p w14:paraId="22CA15CC">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二、收入决算情况说明</w:t>
      </w:r>
    </w:p>
    <w:p w14:paraId="602988B1">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三、支出决算情况说明</w:t>
      </w:r>
    </w:p>
    <w:p w14:paraId="4342389E">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四、财政拨款收入支出决算总体情况说明</w:t>
      </w:r>
    </w:p>
    <w:p w14:paraId="3041C35C">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五、一般公共预算支出决算情况说明</w:t>
      </w:r>
    </w:p>
    <w:p w14:paraId="53B18BC9">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六、一般公共预算基本支出决算情况说明</w:t>
      </w:r>
    </w:p>
    <w:p w14:paraId="6044B9E6">
      <w:pPr>
        <w:pStyle w:val="10"/>
        <w:spacing w:after="0" w:line="360" w:lineRule="auto"/>
        <w:rPr>
          <w:rFonts w:hint="default" w:ascii="Times New Roman" w:hAnsi="Times New Roman" w:eastAsia="仿宋_GB2312" w:cs="仿宋"/>
          <w:w w:val="95"/>
          <w:sz w:val="32"/>
          <w:szCs w:val="32"/>
          <w:highlight w:val="none"/>
          <w:lang w:val="en-US" w:eastAsia="zh-CN"/>
        </w:rPr>
      </w:pPr>
      <w:r>
        <w:rPr>
          <w:rFonts w:hint="eastAsia" w:ascii="Times New Roman" w:hAnsi="Times New Roman" w:eastAsia="仿宋_GB2312" w:cs="仿宋"/>
          <w:w w:val="95"/>
          <w:sz w:val="32"/>
          <w:szCs w:val="32"/>
          <w:highlight w:val="none"/>
        </w:rPr>
        <w:t>七、</w:t>
      </w:r>
      <w:r>
        <w:rPr>
          <w:rFonts w:hint="eastAsia" w:eastAsia="仿宋_GB2312" w:cs="仿宋"/>
          <w:w w:val="95"/>
          <w:sz w:val="32"/>
          <w:szCs w:val="32"/>
          <w:highlight w:val="none"/>
          <w:lang w:val="en-US" w:eastAsia="zh-CN"/>
        </w:rPr>
        <w:t>财政拨款“三公”经费支出决算情况说明</w:t>
      </w:r>
    </w:p>
    <w:p w14:paraId="62B16902">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八、政府性基金预算</w:t>
      </w:r>
      <w:r>
        <w:rPr>
          <w:rFonts w:hint="eastAsia" w:eastAsia="仿宋_GB2312" w:cs="仿宋"/>
          <w:w w:val="95"/>
          <w:sz w:val="32"/>
          <w:szCs w:val="32"/>
          <w:highlight w:val="none"/>
          <w:lang w:val="en-US" w:eastAsia="zh-CN"/>
        </w:rPr>
        <w:t>财政拨款</w:t>
      </w:r>
      <w:r>
        <w:rPr>
          <w:rFonts w:hint="eastAsia" w:ascii="Times New Roman" w:hAnsi="Times New Roman" w:eastAsia="仿宋_GB2312" w:cs="仿宋"/>
          <w:w w:val="95"/>
          <w:sz w:val="32"/>
          <w:szCs w:val="32"/>
          <w:highlight w:val="none"/>
        </w:rPr>
        <w:t>支出决算情况说明</w:t>
      </w:r>
    </w:p>
    <w:p w14:paraId="4D1C9AAA">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九、国有资本经营预算</w:t>
      </w:r>
      <w:r>
        <w:rPr>
          <w:rFonts w:hint="eastAsia" w:eastAsia="仿宋_GB2312" w:cs="仿宋"/>
          <w:w w:val="95"/>
          <w:sz w:val="32"/>
          <w:szCs w:val="32"/>
          <w:highlight w:val="none"/>
          <w:lang w:val="en-US" w:eastAsia="zh-CN"/>
        </w:rPr>
        <w:t>财政拨款</w:t>
      </w:r>
      <w:r>
        <w:rPr>
          <w:rFonts w:hint="eastAsia" w:ascii="Times New Roman" w:hAnsi="Times New Roman" w:eastAsia="仿宋_GB2312" w:cs="仿宋"/>
          <w:w w:val="95"/>
          <w:sz w:val="32"/>
          <w:szCs w:val="32"/>
          <w:highlight w:val="none"/>
        </w:rPr>
        <w:t>支出决算情况说明</w:t>
      </w:r>
    </w:p>
    <w:p w14:paraId="5ADE44C2">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十、项目支出决算情况说明</w:t>
      </w:r>
    </w:p>
    <w:p w14:paraId="2E1D72E5">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十一、</w:t>
      </w:r>
      <w:r>
        <w:rPr>
          <w:rFonts w:hint="eastAsia" w:ascii="Times New Roman" w:hAnsi="Times New Roman" w:eastAsia="仿宋_GB2312" w:cs="仿宋"/>
          <w:w w:val="95"/>
          <w:sz w:val="32"/>
          <w:szCs w:val="32"/>
          <w:highlight w:val="none"/>
          <w:lang w:val="en-US" w:eastAsia="zh-CN"/>
        </w:rPr>
        <w:t>机构</w:t>
      </w:r>
      <w:r>
        <w:rPr>
          <w:rFonts w:hint="eastAsia" w:ascii="Times New Roman" w:hAnsi="Times New Roman" w:eastAsia="仿宋_GB2312" w:cs="仿宋"/>
          <w:w w:val="95"/>
          <w:sz w:val="32"/>
          <w:szCs w:val="32"/>
          <w:highlight w:val="none"/>
        </w:rPr>
        <w:t>运行经费支出决算情况说明</w:t>
      </w:r>
    </w:p>
    <w:p w14:paraId="19E34C89">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十二、政府采购支出决算情况说明</w:t>
      </w:r>
    </w:p>
    <w:p w14:paraId="5B8248CF">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十三、国有资产占用情况说明</w:t>
      </w:r>
    </w:p>
    <w:p w14:paraId="056D5304">
      <w:pPr>
        <w:pStyle w:val="10"/>
        <w:spacing w:after="0" w:line="360" w:lineRule="auto"/>
        <w:rPr>
          <w:rFonts w:hint="eastAsia" w:ascii="Times New Roman" w:hAnsi="Times New Roman" w:eastAsia="仿宋_GB2312" w:cs="仿宋"/>
          <w:w w:val="95"/>
          <w:sz w:val="32"/>
          <w:szCs w:val="32"/>
          <w:highlight w:val="none"/>
          <w:lang w:val="en-US" w:eastAsia="zh-CN"/>
        </w:rPr>
      </w:pPr>
      <w:r>
        <w:rPr>
          <w:rFonts w:hint="eastAsia" w:ascii="Times New Roman" w:hAnsi="Times New Roman" w:eastAsia="仿宋_GB2312" w:cs="仿宋"/>
          <w:w w:val="95"/>
          <w:sz w:val="32"/>
          <w:szCs w:val="32"/>
          <w:highlight w:val="none"/>
        </w:rPr>
        <w:t>十四、预算绩效情况</w:t>
      </w:r>
      <w:r>
        <w:rPr>
          <w:rFonts w:hint="eastAsia" w:eastAsia="仿宋_GB2312" w:cs="仿宋"/>
          <w:w w:val="95"/>
          <w:sz w:val="32"/>
          <w:szCs w:val="32"/>
          <w:highlight w:val="none"/>
          <w:lang w:val="en-US" w:eastAsia="zh-CN"/>
        </w:rPr>
        <w:t>说明</w:t>
      </w:r>
    </w:p>
    <w:p w14:paraId="04C8A99A">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14:paraId="6D0824F7">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第四部分 </w:t>
      </w:r>
      <w:r>
        <w:rPr>
          <w:rFonts w:hint="eastAsia" w:ascii="黑体" w:hAnsi="黑体" w:eastAsia="黑体" w:cs="黑体"/>
          <w:sz w:val="32"/>
          <w:szCs w:val="32"/>
          <w:highlight w:val="none"/>
          <w:lang w:val="en-US" w:eastAsia="zh-CN"/>
        </w:rPr>
        <w:t>决算</w:t>
      </w:r>
      <w:r>
        <w:rPr>
          <w:rFonts w:hint="eastAsia" w:ascii="黑体" w:hAnsi="黑体" w:eastAsia="黑体" w:cs="黑体"/>
          <w:sz w:val="32"/>
          <w:szCs w:val="32"/>
          <w:highlight w:val="none"/>
        </w:rPr>
        <w:t>公开联系方式及信息反馈渠道</w:t>
      </w:r>
    </w:p>
    <w:p w14:paraId="3D070A2B">
      <w:pPr>
        <w:pStyle w:val="10"/>
        <w:spacing w:after="0" w:line="360" w:lineRule="auto"/>
        <w:rPr>
          <w:rFonts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部分 XX年度部门（单位）决算表</w:t>
      </w:r>
    </w:p>
    <w:p w14:paraId="2ECE026C">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一、收入支出决算总表</w:t>
      </w:r>
    </w:p>
    <w:p w14:paraId="576779F6">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二、收入决算表</w:t>
      </w:r>
    </w:p>
    <w:p w14:paraId="6C5FA37C">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三、支出决算表</w:t>
      </w:r>
    </w:p>
    <w:p w14:paraId="0B8DEF10">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四、财政拨款收入支出决算总表</w:t>
      </w:r>
    </w:p>
    <w:p w14:paraId="2042CD70">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五、项目收入支出决算表</w:t>
      </w:r>
    </w:p>
    <w:p w14:paraId="2A845DD0">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六、一般公共预算财政拨款支出决算表</w:t>
      </w:r>
    </w:p>
    <w:p w14:paraId="5C991A75">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七、一般公共预算财政拨款基本支出</w:t>
      </w:r>
      <w:r>
        <w:rPr>
          <w:rFonts w:hint="eastAsia" w:ascii="Times New Roman" w:hAnsi="Times New Roman" w:eastAsia="仿宋_GB2312" w:cs="仿宋"/>
          <w:w w:val="95"/>
          <w:sz w:val="32"/>
          <w:szCs w:val="32"/>
          <w:highlight w:val="none"/>
          <w:lang w:val="en-US" w:eastAsia="zh-CN"/>
        </w:rPr>
        <w:t>决算</w:t>
      </w:r>
      <w:r>
        <w:rPr>
          <w:rFonts w:hint="eastAsia" w:ascii="Times New Roman" w:hAnsi="Times New Roman" w:eastAsia="仿宋_GB2312" w:cs="仿宋"/>
          <w:w w:val="95"/>
          <w:sz w:val="32"/>
          <w:szCs w:val="32"/>
          <w:highlight w:val="none"/>
        </w:rPr>
        <w:t>明细表</w:t>
      </w:r>
    </w:p>
    <w:p w14:paraId="7C5691FA">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八、政府性基金预算财政拨款收入支出决算表</w:t>
      </w:r>
    </w:p>
    <w:p w14:paraId="3A8DD84B">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九、国有资本经营预算财政拨款支出决算表</w:t>
      </w:r>
    </w:p>
    <w:p w14:paraId="6116A554">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十、财政拨款“三公”经费支出决算表</w:t>
      </w:r>
    </w:p>
    <w:p w14:paraId="2E30CAC8">
      <w:pPr>
        <w:pStyle w:val="10"/>
        <w:spacing w:after="0" w:line="360" w:lineRule="auto"/>
        <w:rPr>
          <w:rFonts w:ascii="Times New Roman" w:hAnsi="Times New Roman" w:eastAsia="仿宋_GB2312" w:cs="仿宋"/>
          <w:w w:val="95"/>
          <w:sz w:val="32"/>
          <w:szCs w:val="32"/>
          <w:highlight w:val="none"/>
        </w:rPr>
      </w:pPr>
      <w:r>
        <w:rPr>
          <w:rFonts w:hint="eastAsia" w:ascii="Times New Roman" w:hAnsi="Times New Roman" w:eastAsia="仿宋_GB2312" w:cs="仿宋"/>
          <w:w w:val="95"/>
          <w:sz w:val="32"/>
          <w:szCs w:val="32"/>
          <w:highlight w:val="none"/>
        </w:rPr>
        <w:t>十一、机构运行经费支出、国有资产占用情况及政府采购支出信息表</w:t>
      </w:r>
    </w:p>
    <w:p w14:paraId="077FCAFE">
      <w:pPr>
        <w:spacing w:line="600" w:lineRule="exact"/>
        <w:rPr>
          <w:rFonts w:hint="eastAsia" w:eastAsia="仿宋_GB2312" w:cstheme="minorBidi"/>
          <w:sz w:val="32"/>
          <w:szCs w:val="32"/>
          <w:highlight w:val="none"/>
          <w:lang w:val="en-US" w:eastAsia="zh-CN"/>
        </w:rPr>
      </w:pPr>
      <w:r>
        <w:rPr>
          <w:rFonts w:hint="eastAsia" w:eastAsia="仿宋_GB2312" w:cstheme="minorBidi"/>
          <w:sz w:val="32"/>
          <w:szCs w:val="32"/>
          <w:highlight w:val="none"/>
        </w:rPr>
        <w:t>特别强调1：每个公开位置要精准上传指定报表，切忌重复公开多个预算报表；没有数据的报表要上传空表，并在报表合计数处填“0”，同时在</w:t>
      </w:r>
      <w:r>
        <w:rPr>
          <w:rFonts w:hint="eastAsia" w:eastAsia="仿宋_GB2312" w:cstheme="minorBidi"/>
          <w:sz w:val="32"/>
          <w:szCs w:val="32"/>
          <w:highlight w:val="none"/>
          <w:lang w:val="en-US" w:eastAsia="zh-CN"/>
        </w:rPr>
        <w:t>报表下方说明空表原因</w:t>
      </w:r>
      <w:r>
        <w:rPr>
          <w:rFonts w:hint="eastAsia" w:eastAsia="仿宋_GB2312" w:cstheme="minorBidi"/>
          <w:sz w:val="32"/>
          <w:szCs w:val="32"/>
          <w:highlight w:val="none"/>
        </w:rPr>
        <w:t>。</w:t>
      </w:r>
    </w:p>
    <w:p w14:paraId="68EFE00B">
      <w:pPr>
        <w:spacing w:line="600" w:lineRule="exact"/>
        <w:rPr>
          <w:rFonts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2</w:t>
      </w:r>
      <w:r>
        <w:rPr>
          <w:rFonts w:hint="eastAsia" w:eastAsia="仿宋_GB2312" w:cstheme="minorBidi"/>
          <w:sz w:val="32"/>
          <w:szCs w:val="32"/>
          <w:highlight w:val="none"/>
        </w:rPr>
        <w:t>：公开报表缩放比例要适当，最好保持在80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w:t>
      </w:r>
    </w:p>
    <w:p w14:paraId="7E1547D9">
      <w:pPr>
        <w:spacing w:line="600" w:lineRule="exact"/>
        <w:rPr>
          <w:rFonts w:hint="eastAsia" w:eastAsia="仿宋_GB2312" w:cstheme="minorBidi"/>
          <w:sz w:val="32"/>
          <w:szCs w:val="32"/>
          <w:highlight w:val="none"/>
        </w:rPr>
      </w:pPr>
      <w:r>
        <w:rPr>
          <w:rFonts w:hint="eastAsia" w:eastAsia="仿宋_GB2312" w:cstheme="minorBidi"/>
          <w:sz w:val="32"/>
          <w:szCs w:val="32"/>
          <w:highlight w:val="none"/>
        </w:rPr>
        <w:t>特别强调</w:t>
      </w:r>
      <w:r>
        <w:rPr>
          <w:rFonts w:hint="eastAsia" w:eastAsia="仿宋_GB2312" w:cstheme="minorBidi"/>
          <w:sz w:val="32"/>
          <w:szCs w:val="32"/>
          <w:highlight w:val="none"/>
          <w:lang w:val="en-US" w:eastAsia="zh-CN"/>
        </w:rPr>
        <w:t>3</w:t>
      </w:r>
      <w:r>
        <w:rPr>
          <w:rFonts w:hint="eastAsia" w:eastAsia="仿宋_GB2312" w:cstheme="minorBidi"/>
          <w:sz w:val="32"/>
          <w:szCs w:val="32"/>
          <w:highlight w:val="none"/>
        </w:rPr>
        <w:t>：公开报告不要“残留”模板内容。</w:t>
      </w:r>
    </w:p>
    <w:p w14:paraId="735AD34F">
      <w:pPr>
        <w:pStyle w:val="2"/>
        <w:rPr>
          <w:highlight w:val="none"/>
        </w:rPr>
      </w:pPr>
    </w:p>
    <w:p w14:paraId="4B60444B">
      <w:pPr>
        <w:pStyle w:val="10"/>
        <w:spacing w:after="0" w:line="360" w:lineRule="auto"/>
        <w:rPr>
          <w:rFonts w:ascii="Times New Roman" w:hAnsi="Times New Roman" w:eastAsia="仿宋_GB2312" w:cs="仿宋"/>
          <w:w w:val="95"/>
          <w:sz w:val="32"/>
          <w:szCs w:val="32"/>
          <w:highlight w:val="none"/>
        </w:rPr>
      </w:pPr>
    </w:p>
    <w:p w14:paraId="26FCEBA4">
      <w:pPr>
        <w:pStyle w:val="10"/>
        <w:spacing w:after="0" w:line="360" w:lineRule="auto"/>
        <w:rPr>
          <w:rFonts w:ascii="Times New Roman" w:hAnsi="Times New Roman" w:eastAsia="仿宋_GB2312" w:cs="仿宋"/>
          <w:w w:val="95"/>
          <w:sz w:val="32"/>
          <w:szCs w:val="32"/>
          <w:highlight w:val="none"/>
        </w:rPr>
      </w:pPr>
    </w:p>
    <w:p w14:paraId="7F685427">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18" w:name="_Toc28822"/>
      <w:r>
        <w:rPr>
          <w:rFonts w:hint="eastAsia" w:ascii="方正小标宋简体" w:hAnsi="方正小标宋简体" w:eastAsia="方正小标宋简体" w:cs="方正小标宋简体"/>
          <w:b w:val="0"/>
          <w:bCs w:val="0"/>
          <w:sz w:val="36"/>
          <w:szCs w:val="36"/>
          <w:highlight w:val="none"/>
        </w:rPr>
        <w:t>第一部分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部门（单位）概况</w:t>
      </w:r>
      <w:bookmarkEnd w:id="18"/>
    </w:p>
    <w:p w14:paraId="04002D8D">
      <w:pPr>
        <w:spacing w:line="600" w:lineRule="exact"/>
        <w:ind w:left="424" w:leftChars="202" w:firstLine="212" w:firstLineChars="66"/>
        <w:outlineLvl w:val="2"/>
        <w:rPr>
          <w:rFonts w:eastAsia="黑体" w:cs="黑体"/>
          <w:b/>
          <w:bCs/>
          <w:sz w:val="32"/>
          <w:szCs w:val="36"/>
          <w:highlight w:val="none"/>
        </w:rPr>
      </w:pPr>
      <w:r>
        <w:rPr>
          <w:rFonts w:hint="eastAsia" w:eastAsia="黑体" w:cs="黑体"/>
          <w:b/>
          <w:bCs/>
          <w:sz w:val="32"/>
          <w:szCs w:val="36"/>
          <w:highlight w:val="none"/>
        </w:rPr>
        <w:t>一、主要职能、职责</w:t>
      </w:r>
    </w:p>
    <w:p w14:paraId="281359C4">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部门（单位）公开的名称一定是全称并在报告和</w:t>
      </w:r>
      <w:r>
        <w:rPr>
          <w:rFonts w:hint="eastAsia" w:eastAsia="仿宋_GB2312" w:cstheme="minorBidi"/>
          <w:sz w:val="32"/>
          <w:szCs w:val="32"/>
          <w:highlight w:val="none"/>
          <w:lang w:val="en-US" w:eastAsia="zh-CN"/>
        </w:rPr>
        <w:t>报表</w:t>
      </w:r>
      <w:r>
        <w:rPr>
          <w:rFonts w:hint="eastAsia" w:eastAsia="仿宋_GB2312" w:cstheme="minorBidi"/>
          <w:sz w:val="32"/>
          <w:szCs w:val="32"/>
          <w:highlight w:val="none"/>
        </w:rPr>
        <w:t>中保持一致，如果由于机构变革导致名称等与上年度信息偏差较大，则在此应说明。</w:t>
      </w:r>
    </w:p>
    <w:p w14:paraId="13B83F6A">
      <w:pPr>
        <w:spacing w:line="600" w:lineRule="exact"/>
        <w:ind w:left="424" w:leftChars="202" w:firstLine="212" w:firstLineChars="66"/>
        <w:outlineLvl w:val="2"/>
        <w:rPr>
          <w:rFonts w:eastAsia="黑体" w:cs="黑体"/>
          <w:b/>
          <w:bCs/>
          <w:sz w:val="32"/>
          <w:szCs w:val="36"/>
          <w:highlight w:val="none"/>
        </w:rPr>
      </w:pPr>
      <w:r>
        <w:rPr>
          <w:rFonts w:hint="eastAsia" w:eastAsia="黑体" w:cs="黑体"/>
          <w:b/>
          <w:bCs/>
          <w:sz w:val="32"/>
          <w:szCs w:val="36"/>
          <w:highlight w:val="none"/>
        </w:rPr>
        <w:t>二、部门（单位）机构设置及决算单位构成情况</w:t>
      </w:r>
    </w:p>
    <w:p w14:paraId="4BDB6E34">
      <w:pPr>
        <w:pStyle w:val="38"/>
        <w:tabs>
          <w:tab w:val="left" w:pos="1151"/>
        </w:tabs>
        <w:spacing w:line="360" w:lineRule="auto"/>
        <w:ind w:left="0" w:right="0" w:firstLine="640" w:firstLineChars="200"/>
        <w:jc w:val="both"/>
        <w:rPr>
          <w:rFonts w:ascii="Times New Roman" w:hAnsi="Times New Roman" w:eastAsia="仿宋_GB2312" w:cstheme="minorBidi"/>
          <w:kern w:val="2"/>
          <w:sz w:val="32"/>
          <w:szCs w:val="32"/>
          <w:highlight w:val="none"/>
          <w:lang w:eastAsia="zh-CN"/>
        </w:rPr>
      </w:pPr>
      <w:r>
        <w:rPr>
          <w:rFonts w:hint="eastAsia" w:ascii="Times New Roman" w:hAnsi="Times New Roman" w:eastAsia="仿宋_GB2312" w:cstheme="minorBidi"/>
          <w:kern w:val="2"/>
          <w:sz w:val="32"/>
          <w:szCs w:val="32"/>
          <w:highlight w:val="none"/>
          <w:lang w:eastAsia="zh-CN"/>
        </w:rPr>
        <w:t>1.根据部门（单位）职责分工，本部门（单位）内设机构包括</w:t>
      </w:r>
      <w:r>
        <w:rPr>
          <w:rFonts w:hint="eastAsia" w:ascii="仿宋_GB2312" w:hAnsi="仿宋_GB2312" w:eastAsia="仿宋_GB2312" w:cstheme="minorBidi"/>
          <w:kern w:val="2"/>
          <w:sz w:val="32"/>
          <w:szCs w:val="32"/>
          <w:highlight w:val="none"/>
          <w:lang w:eastAsia="zh-CN"/>
        </w:rPr>
        <w:t>……</w:t>
      </w:r>
      <w:r>
        <w:rPr>
          <w:rFonts w:hint="eastAsia" w:ascii="Times New Roman" w:hAnsi="Times New Roman" w:eastAsia="仿宋_GB2312" w:cstheme="minorBidi"/>
          <w:kern w:val="2"/>
          <w:sz w:val="32"/>
          <w:szCs w:val="32"/>
          <w:highlight w:val="none"/>
          <w:lang w:eastAsia="zh-CN"/>
        </w:rPr>
        <w:t>。本部门（单位）下属单位包括：</w:t>
      </w:r>
      <w:r>
        <w:rPr>
          <w:rFonts w:hint="eastAsia" w:ascii="仿宋_GB2312" w:hAnsi="仿宋_GB2312" w:eastAsia="仿宋_GB2312" w:cstheme="minorBidi"/>
          <w:kern w:val="2"/>
          <w:sz w:val="32"/>
          <w:szCs w:val="32"/>
          <w:highlight w:val="none"/>
          <w:lang w:eastAsia="zh-CN"/>
        </w:rPr>
        <w:t>……</w:t>
      </w:r>
      <w:r>
        <w:rPr>
          <w:rFonts w:hint="eastAsia" w:ascii="Times New Roman" w:hAnsi="Times New Roman" w:eastAsia="仿宋_GB2312" w:cstheme="minorBidi"/>
          <w:kern w:val="2"/>
          <w:sz w:val="32"/>
          <w:szCs w:val="32"/>
          <w:highlight w:val="none"/>
          <w:lang w:eastAsia="zh-CN"/>
        </w:rPr>
        <w:t>。（注：如无下属单位，应写明“本部门（单位）无下属单位”）</w:t>
      </w:r>
    </w:p>
    <w:p w14:paraId="75DEAAAC">
      <w:pPr>
        <w:spacing w:line="360" w:lineRule="auto"/>
        <w:ind w:firstLine="640" w:firstLineChars="200"/>
        <w:rPr>
          <w:rFonts w:eastAsia="仿宋_GB2312" w:cstheme="minorBidi"/>
          <w:sz w:val="32"/>
          <w:szCs w:val="32"/>
          <w:highlight w:val="none"/>
        </w:rPr>
      </w:pPr>
      <w:r>
        <w:rPr>
          <w:rFonts w:hint="eastAsia" w:eastAsia="仿宋_GB2312" w:cstheme="minorBidi"/>
          <w:sz w:val="32"/>
          <w:szCs w:val="32"/>
          <w:highlight w:val="none"/>
        </w:rPr>
        <w:t>2.从决算单位构成看，纳入本部门</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年部门汇总决算编制范围的预算单位共计</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家，具体包括：</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部门本级、</w:t>
      </w:r>
      <w:r>
        <w:rPr>
          <w:rFonts w:hint="eastAsia" w:ascii="仿宋_GB2312" w:hAnsi="仿宋_GB2312" w:eastAsia="仿宋_GB2312" w:cs="仿宋"/>
          <w:sz w:val="32"/>
          <w:szCs w:val="32"/>
          <w:highlight w:val="none"/>
          <w:lang w:eastAsia="zh-CN"/>
        </w:rPr>
        <w:t>XX</w:t>
      </w:r>
      <w:r>
        <w:rPr>
          <w:rFonts w:hint="eastAsia" w:eastAsia="仿宋_GB2312" w:cstheme="minorBidi"/>
          <w:sz w:val="32"/>
          <w:szCs w:val="32"/>
          <w:highlight w:val="none"/>
        </w:rPr>
        <w:t>、</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60"/>
        <w:gridCol w:w="4600"/>
      </w:tblGrid>
      <w:tr w14:paraId="448D5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23C1332C">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3260" w:type="dxa"/>
            <w:vAlign w:val="center"/>
          </w:tcPr>
          <w:p w14:paraId="33F0D626">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4600" w:type="dxa"/>
            <w:vAlign w:val="center"/>
          </w:tcPr>
          <w:p w14:paraId="685C3057">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14:paraId="2905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5721B15F">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1</w:t>
            </w:r>
          </w:p>
        </w:tc>
        <w:tc>
          <w:tcPr>
            <w:tcW w:w="3260" w:type="dxa"/>
          </w:tcPr>
          <w:p w14:paraId="55C866B4">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06343078">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财政拨款的行政单位</w:t>
            </w:r>
          </w:p>
        </w:tc>
      </w:tr>
      <w:tr w14:paraId="2D51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14:paraId="6EC4B5F0">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2</w:t>
            </w:r>
          </w:p>
        </w:tc>
        <w:tc>
          <w:tcPr>
            <w:tcW w:w="3260" w:type="dxa"/>
          </w:tcPr>
          <w:p w14:paraId="18362879">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34F7E3D7">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参照公务员法管理的事业单位</w:t>
            </w:r>
          </w:p>
        </w:tc>
      </w:tr>
      <w:tr w14:paraId="15F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149A3FDE">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3</w:t>
            </w:r>
          </w:p>
        </w:tc>
        <w:tc>
          <w:tcPr>
            <w:tcW w:w="3260" w:type="dxa"/>
          </w:tcPr>
          <w:p w14:paraId="0D6FD0D7">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20A162B6">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公益一类事业单位</w:t>
            </w:r>
          </w:p>
        </w:tc>
      </w:tr>
      <w:tr w14:paraId="00EF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14:paraId="7B89B864">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4</w:t>
            </w:r>
          </w:p>
        </w:tc>
        <w:tc>
          <w:tcPr>
            <w:tcW w:w="3260" w:type="dxa"/>
          </w:tcPr>
          <w:p w14:paraId="06DECC7A">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XX</w:t>
            </w:r>
          </w:p>
        </w:tc>
        <w:tc>
          <w:tcPr>
            <w:tcW w:w="4600" w:type="dxa"/>
          </w:tcPr>
          <w:p w14:paraId="7649C86B">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14:paraId="15AD28C3">
      <w:pPr>
        <w:spacing w:line="360" w:lineRule="auto"/>
        <w:ind w:firstLine="640" w:firstLineChars="200"/>
        <w:rPr>
          <w:rFonts w:eastAsia="仿宋_GB2312" w:cstheme="minorBidi"/>
          <w:sz w:val="32"/>
          <w:szCs w:val="32"/>
          <w:highlight w:val="none"/>
        </w:rPr>
      </w:pPr>
      <w:r>
        <w:rPr>
          <w:rFonts w:hint="eastAsia" w:eastAsia="仿宋_GB2312" w:cstheme="minorBidi"/>
          <w:sz w:val="32"/>
          <w:szCs w:val="32"/>
          <w:highlight w:val="none"/>
        </w:rPr>
        <w:t>（注：本部门（单位）决算编报单位情况需列表说明本年度纳入部门（单位）决算编报单位的名称。无下级预算单位的部门（单位），也需列表说明决算编报单位情况，否则视同未公开</w:t>
      </w:r>
      <w:r>
        <w:rPr>
          <w:rFonts w:hint="eastAsia" w:eastAsia="仿宋_GB2312" w:cstheme="minorBidi"/>
          <w:sz w:val="32"/>
          <w:szCs w:val="32"/>
          <w:highlight w:val="none"/>
          <w:lang w:val="en-US" w:eastAsia="zh-CN"/>
        </w:rPr>
        <w:t>决算单位构成</w:t>
      </w:r>
      <w:r>
        <w:rPr>
          <w:rFonts w:hint="eastAsia" w:eastAsia="仿宋_GB2312" w:cstheme="minorBidi"/>
          <w:sz w:val="32"/>
          <w:szCs w:val="32"/>
          <w:highlight w:val="none"/>
        </w:rPr>
        <w:t>情况。）</w:t>
      </w:r>
    </w:p>
    <w:p w14:paraId="39A6D533">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三、</w:t>
      </w:r>
      <w:r>
        <w:rPr>
          <w:rFonts w:hint="eastAsia" w:ascii="仿宋_GB2312" w:hAnsi="仿宋_GB2312" w:eastAsia="黑体" w:cs="黑体"/>
          <w:b/>
          <w:bCs/>
          <w:sz w:val="32"/>
          <w:szCs w:val="36"/>
          <w:highlight w:val="none"/>
          <w:lang w:eastAsia="zh-CN"/>
        </w:rPr>
        <w:t>XX</w:t>
      </w:r>
      <w:r>
        <w:rPr>
          <w:rFonts w:hint="eastAsia" w:eastAsia="黑体" w:cs="黑体"/>
          <w:b/>
          <w:bCs/>
          <w:sz w:val="32"/>
          <w:szCs w:val="36"/>
          <w:highlight w:val="none"/>
        </w:rPr>
        <w:t>年度部门（单位）主要工作完成情况</w:t>
      </w:r>
    </w:p>
    <w:p w14:paraId="241439FF">
      <w:pPr>
        <w:pStyle w:val="2"/>
        <w:rPr>
          <w:rFonts w:hint="default"/>
          <w:highlight w:val="none"/>
        </w:rPr>
      </w:pPr>
    </w:p>
    <w:p w14:paraId="1C5AEA34">
      <w:pPr>
        <w:pStyle w:val="5"/>
        <w:tabs>
          <w:tab w:val="left" w:pos="4392"/>
        </w:tabs>
        <w:adjustRightInd/>
        <w:snapToGrid/>
        <w:spacing w:before="0" w:after="0" w:line="360" w:lineRule="auto"/>
        <w:ind w:firstLine="0" w:firstLineChars="0"/>
        <w:jc w:val="center"/>
        <w:rPr>
          <w:rFonts w:ascii="方正小标宋简体" w:hAnsi="方正小标宋简体" w:eastAsia="方正小标宋简体" w:cs="方正小标宋简体"/>
          <w:b w:val="0"/>
          <w:bCs w:val="0"/>
          <w:sz w:val="36"/>
          <w:szCs w:val="36"/>
          <w:highlight w:val="none"/>
        </w:rPr>
      </w:pPr>
      <w:bookmarkStart w:id="19" w:name="_Toc990"/>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XX年度部门（单位）决算情况说明</w:t>
      </w:r>
      <w:bookmarkEnd w:id="19"/>
    </w:p>
    <w:p w14:paraId="6C84691A">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一、收入支出决算总体情况说明</w:t>
      </w:r>
    </w:p>
    <w:p w14:paraId="00D0D7A4">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（依据“公开01表收支总表”中金额填列）</w:t>
      </w:r>
    </w:p>
    <w:p w14:paraId="6CA3D498">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eastAsia="仿宋_GB2312"/>
          <w:sz w:val="32"/>
          <w:szCs w:val="32"/>
          <w:highlight w:val="none"/>
        </w:rPr>
        <w:t>年度</w:t>
      </w:r>
      <w:r>
        <w:rPr>
          <w:rFonts w:hint="eastAsia" w:ascii="Times New Roman" w:hAnsi="Times New Roman" w:eastAsia="仿宋_GB2312" w:cs="仿宋"/>
          <w:sz w:val="32"/>
          <w:szCs w:val="32"/>
          <w:highlight w:val="none"/>
        </w:rPr>
        <w:t>收入、支出决算总计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万元。与年初预算相比，收、支总计各增加（减少）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。其中：</w:t>
      </w:r>
    </w:p>
    <w:p w14:paraId="4D1014F0">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（一）收入决算总计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7A06235F">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1.本年收入决算合计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9946171">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2.使用非财政拨款结余</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64C524FE">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3.年初结转和结余</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68FB5F5D">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（二）支出决算总计</w:t>
      </w:r>
      <w:r>
        <w:rPr>
          <w:rFonts w:hint="eastAsia" w:ascii="Times New Roman" w:hAnsi="Times New Roman" w:eastAsia="仿宋_GB2312" w:cs="仿宋"/>
          <w:sz w:val="32"/>
          <w:szCs w:val="32"/>
          <w:highlight w:val="none"/>
          <w:u w:val="single"/>
        </w:rPr>
        <w:t xml:space="preserve">    </w:t>
      </w:r>
      <w:r>
        <w:rPr>
          <w:rFonts w:hint="eastAsia" w:ascii="楷体" w:hAnsi="楷体" w:eastAsia="楷体" w:cs="楷体"/>
          <w:b/>
          <w:bCs/>
          <w:sz w:val="32"/>
          <w:szCs w:val="32"/>
          <w:highlight w:val="none"/>
        </w:rPr>
        <w:t>万元。包括：</w:t>
      </w:r>
    </w:p>
    <w:p w14:paraId="76B60E79">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1.本年支出决算合计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299B15EF">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2．结余分配</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万元。结余分配事项：</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3A2F57F">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3.年末结转和结余</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万元。结转和结余事项：</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7AB0AA9A">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二、收入决算情况说明</w:t>
      </w:r>
    </w:p>
    <w:p w14:paraId="38270121">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（反映部门（单位）年度总体收入决算情况）</w:t>
      </w:r>
    </w:p>
    <w:p w14:paraId="483E225C">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w:t>
      </w:r>
      <w:r>
        <w:rPr>
          <w:rFonts w:hint="eastAsia" w:ascii="Times New Roman" w:hAnsi="Times New Roman" w:eastAsia="仿宋_GB2312" w:cs="仿宋"/>
          <w:sz w:val="32"/>
          <w:szCs w:val="32"/>
          <w:highlight w:val="none"/>
          <w:lang w:val="en-US" w:eastAsia="zh-CN"/>
        </w:rPr>
        <w:t>本年</w:t>
      </w:r>
      <w:r>
        <w:rPr>
          <w:rFonts w:hint="eastAsia" w:ascii="Times New Roman" w:hAnsi="Times New Roman" w:eastAsia="仿宋_GB2312" w:cs="仿宋"/>
          <w:sz w:val="32"/>
          <w:szCs w:val="32"/>
          <w:highlight w:val="none"/>
        </w:rPr>
        <w:t>收入决算</w:t>
      </w:r>
      <w:r>
        <w:rPr>
          <w:rFonts w:hint="eastAsia" w:ascii="Times New Roman" w:hAnsi="Times New Roman" w:eastAsia="仿宋_GB2312" w:cs="仿宋"/>
          <w:sz w:val="32"/>
          <w:szCs w:val="32"/>
          <w:highlight w:val="none"/>
          <w:lang w:val="en-US" w:eastAsia="zh-CN"/>
        </w:rPr>
        <w:t>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其中：</w:t>
      </w:r>
    </w:p>
    <w:p w14:paraId="48F66226">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本年一般公共预算财政拨款收入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6BA388A6">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本年政府性基金预算财政拨款收入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6A100108">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本年国有资本经营预算财政拨款收入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7CDEAC39">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本年上级补助收入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53D0684B">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本年事业收入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4663B2C">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本年经营收入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7730CBE">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本年附属单位上缴收入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48CA3D9">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本年其他收入</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0122573A">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按照“公开02表收入支出决算总表”分析填列</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为零项不得删除</w:t>
      </w:r>
      <w:r>
        <w:rPr>
          <w:rFonts w:hint="eastAsia" w:ascii="Times New Roman" w:hAnsi="Times New Roman" w:eastAsia="仿宋_GB2312" w:cs="仿宋"/>
          <w:sz w:val="32"/>
          <w:szCs w:val="32"/>
          <w:highlight w:val="none"/>
          <w:lang w:eastAsia="zh-CN"/>
        </w:rPr>
        <w:t>）</w:t>
      </w:r>
    </w:p>
    <w:p w14:paraId="6CC1BA0C">
      <w:pPr>
        <w:pStyle w:val="10"/>
        <w:spacing w:after="0" w:line="560" w:lineRule="exact"/>
        <w:ind w:firstLine="640" w:firstLineChars="200"/>
        <w:jc w:val="center"/>
        <w:rPr>
          <w:rFonts w:hint="eastAsia" w:ascii="Times New Roman" w:hAnsi="Times New Roman" w:eastAsia="仿宋_GB2312" w:cs="仿宋"/>
          <w:sz w:val="32"/>
          <w:szCs w:val="32"/>
          <w:highlight w:val="none"/>
        </w:rPr>
      </w:pPr>
    </w:p>
    <w:p w14:paraId="49EF434B">
      <w:pPr>
        <w:pStyle w:val="10"/>
        <w:spacing w:after="0" w:line="560" w:lineRule="exact"/>
        <w:ind w:firstLine="640" w:firstLineChars="200"/>
        <w:jc w:val="center"/>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图1.收入决算图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14:paraId="05F33376">
      <w:pPr>
        <w:pStyle w:val="10"/>
        <w:spacing w:after="0" w:line="560" w:lineRule="exact"/>
        <w:ind w:firstLine="640" w:firstLineChars="200"/>
        <w:jc w:val="center"/>
        <w:rPr>
          <w:rFonts w:ascii="Times New Roman" w:hAnsi="Times New Roman" w:eastAsia="仿宋_GB2312" w:cs="仿宋"/>
          <w:sz w:val="32"/>
          <w:szCs w:val="32"/>
          <w:highlight w:val="none"/>
        </w:rPr>
      </w:pPr>
    </w:p>
    <w:p w14:paraId="773FAABB">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三、支出决算情况说明</w:t>
      </w:r>
    </w:p>
    <w:p w14:paraId="484806F9">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（反映部门（单位）年度总体支出决算情况</w:t>
      </w:r>
      <w:r>
        <w:rPr>
          <w:rFonts w:hint="eastAsia" w:ascii="Times New Roman" w:hAnsi="Times New Roman" w:eastAsia="仿宋_GB2312" w:cs="仿宋"/>
          <w:sz w:val="32"/>
          <w:szCs w:val="32"/>
          <w:highlight w:val="none"/>
          <w:lang w:eastAsia="zh-CN"/>
        </w:rPr>
        <w:t>）</w:t>
      </w:r>
    </w:p>
    <w:p w14:paraId="5F7411AA">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年度本年支出决算合计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14:paraId="12053842">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本年基本支出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09DC8896">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本年项目支出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12DAE53F">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本年上缴上级支出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77E2F7A6">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本年经营支出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68A61360">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本年对附属单位补助支出</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万元，占</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35770287">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按照</w:t>
      </w:r>
      <w:r>
        <w:rPr>
          <w:rFonts w:hint="eastAsia" w:ascii="Times New Roman" w:hAnsi="Times New Roman" w:eastAsia="仿宋_GB2312" w:cs="仿宋"/>
          <w:sz w:val="32"/>
          <w:szCs w:val="32"/>
          <w:highlight w:val="none"/>
        </w:rPr>
        <w:t>“公开03表支出决算表”</w:t>
      </w:r>
      <w:r>
        <w:rPr>
          <w:rFonts w:hint="eastAsia" w:ascii="Times New Roman" w:hAnsi="Times New Roman" w:eastAsia="仿宋_GB2312" w:cs="仿宋"/>
          <w:sz w:val="32"/>
          <w:szCs w:val="32"/>
          <w:highlight w:val="none"/>
          <w:lang w:val="en-US" w:eastAsia="zh-CN"/>
        </w:rPr>
        <w:t>分析填列，为零项不得删除</w:t>
      </w:r>
      <w:r>
        <w:rPr>
          <w:rFonts w:hint="eastAsia" w:ascii="Times New Roman" w:hAnsi="Times New Roman" w:eastAsia="仿宋_GB2312" w:cs="仿宋"/>
          <w:sz w:val="32"/>
          <w:szCs w:val="32"/>
          <w:highlight w:val="none"/>
        </w:rPr>
        <w:t>。）</w:t>
      </w:r>
    </w:p>
    <w:p w14:paraId="2C89AB0D">
      <w:pPr>
        <w:pStyle w:val="10"/>
        <w:spacing w:after="0" w:line="560" w:lineRule="exact"/>
        <w:jc w:val="center"/>
        <w:rPr>
          <w:rFonts w:hint="eastAsia" w:ascii="Times New Roman" w:hAnsi="Times New Roman" w:eastAsia="仿宋_GB2312" w:cs="仿宋"/>
          <w:sz w:val="32"/>
          <w:szCs w:val="32"/>
          <w:highlight w:val="none"/>
        </w:rPr>
      </w:pPr>
    </w:p>
    <w:p w14:paraId="59BD6C2A">
      <w:pPr>
        <w:pStyle w:val="10"/>
        <w:spacing w:after="0" w:line="560" w:lineRule="exact"/>
        <w:jc w:val="center"/>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图2.支出决算图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14:paraId="37A8F195">
      <w:pPr>
        <w:pStyle w:val="10"/>
        <w:spacing w:after="0" w:line="560" w:lineRule="exact"/>
        <w:jc w:val="center"/>
        <w:rPr>
          <w:rFonts w:ascii="Times New Roman" w:hAnsi="Times New Roman" w:eastAsia="仿宋_GB2312" w:cs="仿宋"/>
          <w:sz w:val="32"/>
          <w:szCs w:val="32"/>
          <w:highlight w:val="none"/>
        </w:rPr>
      </w:pPr>
    </w:p>
    <w:p w14:paraId="26B1EF6D">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四、财政拨款收入支出决算总体情况说明</w:t>
      </w:r>
    </w:p>
    <w:p w14:paraId="712FB8A4">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（反映部门（单位）年度财政拨款总体收支决算情况。财政拨款收入数、支出数应与“公开04表财政拨款收入支出决算总表”数对应一致。）</w:t>
      </w:r>
    </w:p>
    <w:p w14:paraId="2F1BECDC">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 xml:space="preserve">部门（单位）  </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年度财政拨款收入、支出决算总计</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万元，与年初预算相比，收、支总计各增加（减少）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；与上年决算相比，收、支总计各增加（减少）</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万元，增长（减少）</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，变动原因：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4E5083C3">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五、一般公共预算支出决算情况说明</w:t>
      </w:r>
    </w:p>
    <w:p w14:paraId="01D281A4">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（反映部门（单位）年度一般公共决算支出情况。按照“公开06表一般公共预算财政拨款支出决算表”中的功能分类“项”级科目，结合本部门（单位）同一年度部门（单位）预算“公开0</w:t>
      </w:r>
      <w:r>
        <w:rPr>
          <w:rFonts w:hint="eastAsia" w:ascii="Times New Roman" w:hAnsi="Times New Roman" w:eastAsia="仿宋_GB2312" w:cs="仿宋"/>
          <w:sz w:val="32"/>
          <w:szCs w:val="32"/>
          <w:highlight w:val="none"/>
          <w:lang w:val="en-US" w:eastAsia="zh-CN"/>
        </w:rPr>
        <w:t>5</w:t>
      </w:r>
      <w:r>
        <w:rPr>
          <w:rFonts w:hint="eastAsia" w:ascii="Times New Roman" w:hAnsi="Times New Roman" w:eastAsia="仿宋_GB2312" w:cs="仿宋"/>
          <w:sz w:val="32"/>
          <w:szCs w:val="32"/>
          <w:highlight w:val="none"/>
        </w:rPr>
        <w:t>表</w:t>
      </w:r>
      <w:r>
        <w:rPr>
          <w:rFonts w:hint="eastAsia" w:ascii="Times New Roman" w:hAnsi="Times New Roman" w:eastAsia="仿宋_GB2312" w:cs="仿宋"/>
          <w:sz w:val="32"/>
          <w:szCs w:val="32"/>
          <w:highlight w:val="none"/>
          <w:lang w:val="en-US" w:eastAsia="zh-CN"/>
        </w:rPr>
        <w:t>一般公共预算支出表</w:t>
      </w:r>
      <w:r>
        <w:rPr>
          <w:rFonts w:hint="eastAsia" w:ascii="Times New Roman" w:hAnsi="Times New Roman" w:eastAsia="仿宋_GB2312" w:cs="仿宋"/>
          <w:sz w:val="32"/>
          <w:szCs w:val="32"/>
          <w:highlight w:val="none"/>
        </w:rPr>
        <w:t>”对应情况，并说明与预算差异情况。）</w:t>
      </w:r>
    </w:p>
    <w:p w14:paraId="2AF7EC0A">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一般公共预算既包括使用本年从本级财政取得的财政拨款发生的支出，也包括使用上年度财政拨款结转资金发生的支出。</w:t>
      </w:r>
    </w:p>
    <w:p w14:paraId="37C561FA">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Times New Roman" w:hAnsi="Times New Roman" w:eastAsia="仿宋_GB2312" w:cs="仿宋"/>
          <w:sz w:val="32"/>
          <w:szCs w:val="32"/>
          <w:highlight w:val="none"/>
          <w:u w:val="single"/>
          <w:lang w:val="en-US" w:eastAsia="zh-CN"/>
        </w:rPr>
        <w:t xml:space="preserve">  </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年度一般公共预算财政拨款支出决算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万元。与年初预算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万元相比，完成年初预算的</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。其中：</w:t>
      </w:r>
    </w:p>
    <w:p w14:paraId="15C42530">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（一）一般公共服务（类）</w:t>
      </w:r>
    </w:p>
    <w:p w14:paraId="6E4B402D">
      <w:pPr>
        <w:pStyle w:val="10"/>
        <w:spacing w:after="0" w:line="560" w:lineRule="exact"/>
        <w:ind w:firstLine="640" w:firstLineChars="200"/>
        <w:rPr>
          <w:rFonts w:hint="eastAsia" w:ascii="Times New Roman" w:hAnsi="Times New Roman" w:eastAsia="仿宋_GB2312" w:cs="仿宋"/>
          <w:sz w:val="32"/>
          <w:szCs w:val="32"/>
          <w:highlight w:val="none"/>
        </w:rPr>
      </w:pPr>
      <w:r>
        <w:rPr>
          <w:rFonts w:hint="eastAsia" w:eastAsia="仿宋_GB2312"/>
          <w:sz w:val="32"/>
          <w:szCs w:val="32"/>
          <w:highlight w:val="none"/>
        </w:rPr>
        <w:t>一般公共服务类</w:t>
      </w:r>
      <w:r>
        <w:rPr>
          <w:rFonts w:hint="eastAsia" w:eastAsia="仿宋_GB2312"/>
          <w:sz w:val="32"/>
          <w:szCs w:val="32"/>
          <w:highlight w:val="none"/>
          <w:lang w:val="en-US" w:eastAsia="zh-CN"/>
        </w:rPr>
        <w:t>决算</w:t>
      </w:r>
      <w:r>
        <w:rPr>
          <w:rFonts w:hint="eastAsia" w:eastAsia="仿宋_GB2312"/>
          <w:sz w:val="32"/>
          <w:szCs w:val="32"/>
          <w:highlight w:val="none"/>
        </w:rPr>
        <w:t>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w:t>
      </w:r>
      <w:r>
        <w:rPr>
          <w:rFonts w:hint="eastAsia" w:eastAsia="仿宋_GB2312"/>
          <w:sz w:val="32"/>
          <w:szCs w:val="32"/>
          <w:highlight w:val="none"/>
          <w:lang w:val="en-US" w:eastAsia="zh-CN"/>
        </w:rPr>
        <w:t>年初预算</w:t>
      </w:r>
      <w:r>
        <w:rPr>
          <w:rFonts w:hint="eastAsia" w:eastAsia="仿宋_GB2312"/>
          <w:sz w:val="32"/>
          <w:szCs w:val="32"/>
          <w:highlight w:val="none"/>
        </w:rPr>
        <w:t>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6F137EB2">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1．人大事务（款）行政运行（项）。年初预算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万元，完成年初预算的</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。决算数与年初预算数的差异原因：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682AA4D3">
      <w:pPr>
        <w:pStyle w:val="10"/>
        <w:spacing w:after="0" w:line="560" w:lineRule="exact"/>
        <w:ind w:firstLine="640" w:firstLineChars="200"/>
        <w:rPr>
          <w:rFonts w:hint="eastAsia"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rPr>
        <w:t>2．</w:t>
      </w:r>
      <w:r>
        <w:rPr>
          <w:rFonts w:hint="eastAsia" w:ascii="仿宋_GB2312" w:hAnsi="仿宋_GB2312" w:eastAsia="仿宋_GB2312" w:cs="仿宋"/>
          <w:sz w:val="32"/>
          <w:szCs w:val="32"/>
          <w:highlight w:val="none"/>
          <w:lang w:eastAsia="zh-CN"/>
        </w:rPr>
        <w:t>……</w:t>
      </w:r>
    </w:p>
    <w:p w14:paraId="7FE20A92">
      <w:pPr>
        <w:pStyle w:val="10"/>
        <w:tabs>
          <w:tab w:val="left" w:pos="4275"/>
        </w:tabs>
        <w:spacing w:after="0" w:line="56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（二）公共安全（类）</w:t>
      </w:r>
    </w:p>
    <w:p w14:paraId="4CA2A178">
      <w:pPr>
        <w:pStyle w:val="10"/>
        <w:spacing w:after="0" w:line="560" w:lineRule="exact"/>
        <w:ind w:firstLine="640" w:firstLineChars="200"/>
        <w:rPr>
          <w:rFonts w:hint="eastAsia" w:ascii="Times New Roman" w:hAnsi="Times New Roman" w:eastAsia="仿宋_GB2312" w:cs="仿宋"/>
          <w:sz w:val="32"/>
          <w:szCs w:val="32"/>
          <w:highlight w:val="none"/>
        </w:rPr>
      </w:pPr>
      <w:r>
        <w:rPr>
          <w:rFonts w:hint="eastAsia" w:eastAsia="仿宋_GB2312"/>
          <w:sz w:val="32"/>
          <w:szCs w:val="32"/>
          <w:highlight w:val="none"/>
          <w:lang w:val="en-US" w:eastAsia="zh-CN"/>
        </w:rPr>
        <w:t>公共安全</w:t>
      </w:r>
      <w:r>
        <w:rPr>
          <w:rFonts w:hint="eastAsia" w:eastAsia="仿宋_GB2312"/>
          <w:sz w:val="32"/>
          <w:szCs w:val="32"/>
          <w:highlight w:val="none"/>
        </w:rPr>
        <w:t>类</w:t>
      </w:r>
      <w:r>
        <w:rPr>
          <w:rFonts w:hint="eastAsia" w:eastAsia="仿宋_GB2312"/>
          <w:sz w:val="32"/>
          <w:szCs w:val="32"/>
          <w:highlight w:val="none"/>
          <w:lang w:val="en-US" w:eastAsia="zh-CN"/>
        </w:rPr>
        <w:t>决算</w:t>
      </w:r>
      <w:r>
        <w:rPr>
          <w:rFonts w:hint="eastAsia" w:eastAsia="仿宋_GB2312"/>
          <w:sz w:val="32"/>
          <w:szCs w:val="32"/>
          <w:highlight w:val="none"/>
        </w:rPr>
        <w:t>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w:t>
      </w:r>
      <w:r>
        <w:rPr>
          <w:rFonts w:hint="eastAsia" w:eastAsia="仿宋_GB2312"/>
          <w:sz w:val="32"/>
          <w:szCs w:val="32"/>
          <w:highlight w:val="none"/>
          <w:lang w:val="en-US" w:eastAsia="zh-CN"/>
        </w:rPr>
        <w:t>年初预算</w:t>
      </w:r>
      <w:r>
        <w:rPr>
          <w:rFonts w:hint="eastAsia" w:eastAsia="仿宋_GB2312"/>
          <w:sz w:val="32"/>
          <w:szCs w:val="32"/>
          <w:highlight w:val="none"/>
        </w:rPr>
        <w:t>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14:paraId="1FF81B60">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1．公安（款）行政运行（项）。年初预算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万元，完成年初预算的</w:t>
      </w:r>
      <w:r>
        <w:rPr>
          <w:rFonts w:hint="eastAsia" w:ascii="Times New Roman" w:hAnsi="Times New Roman" w:eastAsia="仿宋_GB2312" w:cs="仿宋"/>
          <w:sz w:val="32"/>
          <w:szCs w:val="32"/>
          <w:highlight w:val="none"/>
          <w:u w:val="single"/>
        </w:rPr>
        <w:t xml:space="preserve">    </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。决算数与年初预算数的差异原因：</w:t>
      </w:r>
      <w:r>
        <w:rPr>
          <w:rFonts w:hint="eastAsia" w:ascii="仿宋_GB2312" w:hAnsi="仿宋_GB2312" w:eastAsia="仿宋_GB2312" w:cs="仿宋"/>
          <w:sz w:val="32"/>
          <w:szCs w:val="32"/>
          <w:highlight w:val="none"/>
          <w:lang w:eastAsia="zh-CN"/>
        </w:rPr>
        <w:t>……</w:t>
      </w:r>
      <w:r>
        <w:rPr>
          <w:rFonts w:hint="eastAsia" w:ascii="Times New Roman" w:hAnsi="Times New Roman" w:eastAsia="仿宋_GB2312" w:cs="仿宋"/>
          <w:sz w:val="32"/>
          <w:szCs w:val="32"/>
          <w:highlight w:val="none"/>
        </w:rPr>
        <w:t>。</w:t>
      </w:r>
    </w:p>
    <w:p w14:paraId="55B04D10">
      <w:pPr>
        <w:pStyle w:val="10"/>
        <w:spacing w:after="0" w:line="560" w:lineRule="exact"/>
        <w:ind w:firstLine="640" w:firstLineChars="200"/>
        <w:rPr>
          <w:rFonts w:hint="eastAsia" w:ascii="Times New Roman" w:hAnsi="Times New Roman" w:eastAsia="仿宋_GB2312" w:cs="仿宋"/>
          <w:sz w:val="32"/>
          <w:szCs w:val="32"/>
          <w:highlight w:val="none"/>
          <w:lang w:eastAsia="zh-CN"/>
        </w:rPr>
      </w:pPr>
      <w:r>
        <w:rPr>
          <w:rFonts w:hint="eastAsia" w:ascii="仿宋_GB2312" w:hAnsi="仿宋_GB2312" w:eastAsia="仿宋_GB2312" w:cs="仿宋"/>
          <w:sz w:val="32"/>
          <w:szCs w:val="32"/>
          <w:highlight w:val="none"/>
          <w:lang w:eastAsia="zh-CN"/>
        </w:rPr>
        <w:t>……</w:t>
      </w:r>
    </w:p>
    <w:p w14:paraId="74CE2F55">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六、一般公共预算基本支出决算情况说明</w:t>
      </w:r>
    </w:p>
    <w:p w14:paraId="35998B69">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（反映部门（单位）年度一般公共预算基本支出决算情况）</w:t>
      </w:r>
    </w:p>
    <w:p w14:paraId="1482D5D1">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部门（单位）</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年度一般公共预算财政拨款基本支出决算</w:t>
      </w:r>
      <w:r>
        <w:rPr>
          <w:rFonts w:hint="eastAsia" w:ascii="Times New Roman" w:hAnsi="Times New Roman" w:eastAsia="仿宋_GB2312" w:cs="仿宋"/>
          <w:sz w:val="32"/>
          <w:szCs w:val="32"/>
          <w:highlight w:val="none"/>
          <w:u w:val="single"/>
        </w:rPr>
        <w:t xml:space="preserve">    </w:t>
      </w:r>
      <w:r>
        <w:rPr>
          <w:rFonts w:hint="eastAsia" w:ascii="Times New Roman" w:hAnsi="Times New Roman" w:eastAsia="仿宋_GB2312" w:cs="仿宋"/>
          <w:sz w:val="32"/>
          <w:szCs w:val="32"/>
          <w:highlight w:val="none"/>
        </w:rPr>
        <w:t>万元，其中：</w:t>
      </w:r>
    </w:p>
    <w:p w14:paraId="2BB1D78A">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津贴补贴、奖金、社会保障缴费、伙食补助费、绩效工资、其他工资福利支出、离休费、退休费、抚恤金、生活补助、医疗费、奖励金、住房公积金、提租补贴、其他对个人和家庭的补助支出等。</w:t>
      </w:r>
    </w:p>
    <w:p w14:paraId="7611063D">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（按“公开07表一般公共预算财政拨款基本支出决算明细表”中经济分类支出事项填写）</w:t>
      </w:r>
    </w:p>
    <w:p w14:paraId="60B63339">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ascii="Times New Roman" w:hAnsi="Times New Roman" w:eastAsia="仿宋_GB2312" w:cs="仿宋"/>
          <w:b/>
          <w:bCs/>
          <w:sz w:val="32"/>
          <w:szCs w:val="32"/>
          <w:highlight w:val="none"/>
          <w:u w:val="single"/>
        </w:rPr>
        <w:t xml:space="preserve">    </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14:paraId="13564257">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（按“公开07表一般公共预算财政拨款基本支出决算明细表”中经济分类支出事项填写）</w:t>
      </w:r>
    </w:p>
    <w:p w14:paraId="45ABEBA5">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七、财政拨款“三公”经费支出决算情况说明</w:t>
      </w:r>
    </w:p>
    <w:p w14:paraId="05548C68">
      <w:pPr>
        <w:pStyle w:val="10"/>
        <w:spacing w:after="0" w:line="560" w:lineRule="exact"/>
        <w:ind w:firstLine="640" w:firstLineChars="200"/>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（反映部门（单位）年度财政拨款“三公”经费决算情况）</w:t>
      </w:r>
    </w:p>
    <w:p w14:paraId="42CDC076">
      <w:pPr>
        <w:keepNext/>
        <w:keepLines/>
        <w:adjustRightInd w:val="0"/>
        <w:snapToGrid w:val="0"/>
        <w:spacing w:line="560" w:lineRule="exact"/>
        <w:ind w:firstLine="643"/>
        <w:rPr>
          <w:rFonts w:eastAsia="楷体"/>
          <w:b/>
          <w:bCs/>
          <w:sz w:val="32"/>
          <w:szCs w:val="32"/>
          <w:highlight w:val="none"/>
        </w:rPr>
      </w:pPr>
      <w:r>
        <w:rPr>
          <w:rFonts w:hint="eastAsia" w:eastAsia="楷体"/>
          <w:b/>
          <w:bCs/>
          <w:sz w:val="32"/>
          <w:szCs w:val="32"/>
          <w:highlight w:val="none"/>
        </w:rPr>
        <w:t>（一）财政拨款“三公”经费支出总体情况说明。</w:t>
      </w:r>
    </w:p>
    <w:p w14:paraId="425286F9">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Times New Roman" w:hAnsi="Times New Roman" w:eastAsia="仿宋_GB2312" w:cs="仿宋"/>
          <w:sz w:val="32"/>
          <w:szCs w:val="32"/>
          <w:highlight w:val="none"/>
          <w:u w:val="single"/>
        </w:rPr>
        <w:t xml:space="preserve">部门（单位） </w:t>
      </w:r>
      <w:r>
        <w:rPr>
          <w:rFonts w:hint="eastAsia" w:ascii="仿宋_GB2312" w:hAnsi="仿宋_GB2312" w:eastAsia="仿宋_GB2312" w:cs="仿宋"/>
          <w:sz w:val="32"/>
          <w:szCs w:val="32"/>
          <w:highlight w:val="none"/>
          <w:lang w:eastAsia="zh-CN"/>
        </w:rPr>
        <w:t>XX</w:t>
      </w:r>
      <w:r>
        <w:rPr>
          <w:rFonts w:hint="eastAsia" w:ascii="Times New Roman" w:hAnsi="Times New Roman" w:eastAsia="仿宋_GB2312" w:cs="仿宋"/>
          <w:sz w:val="32"/>
          <w:szCs w:val="32"/>
          <w:highlight w:val="none"/>
        </w:rPr>
        <w:t>年度财政拨款“三公”</w:t>
      </w:r>
      <w:r>
        <w:rPr>
          <w:rFonts w:hint="eastAsia" w:ascii="Times New Roman" w:hAnsi="Times New Roman" w:eastAsia="仿宋_GB2312" w:cs="仿宋"/>
          <w:b w:val="0"/>
          <w:bCs w:val="0"/>
          <w:sz w:val="32"/>
          <w:szCs w:val="32"/>
          <w:highlight w:val="none"/>
        </w:rPr>
        <w:t>经费预算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。其中：因公出国（境）费预算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；公务用车购置及运行维护费预算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；公务接待费预算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年度一般公共预算“三公”经费支出决算与预算差异原因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。（也可以分项说明差异原因）</w:t>
      </w:r>
    </w:p>
    <w:p w14:paraId="0DDC9620">
      <w:pPr>
        <w:keepNext/>
        <w:keepLines/>
        <w:adjustRightInd w:val="0"/>
        <w:snapToGrid w:val="0"/>
        <w:spacing w:line="560" w:lineRule="exact"/>
        <w:ind w:firstLine="643"/>
        <w:rPr>
          <w:rFonts w:eastAsia="楷体"/>
          <w:b/>
          <w:bCs/>
          <w:sz w:val="32"/>
          <w:szCs w:val="32"/>
          <w:highlight w:val="none"/>
        </w:rPr>
      </w:pPr>
      <w:r>
        <w:rPr>
          <w:rFonts w:hint="eastAsia" w:eastAsia="楷体"/>
          <w:b/>
          <w:bCs/>
          <w:sz w:val="32"/>
          <w:szCs w:val="32"/>
          <w:highlight w:val="none"/>
        </w:rPr>
        <w:t>（二）财政拨款“三公”经费支出具体情况说明。</w:t>
      </w:r>
    </w:p>
    <w:p w14:paraId="45209EC6">
      <w:pPr>
        <w:keepNext/>
        <w:keepLines/>
        <w:adjustRightInd w:val="0"/>
        <w:snapToGrid w:val="0"/>
        <w:spacing w:line="560" w:lineRule="exact"/>
        <w:ind w:firstLine="643"/>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年度财政拨款“三公”经费支出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万元。因公出国（境）费支出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；公务用车购置及运行维护费支出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；公务接待费支出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w:t>
      </w:r>
    </w:p>
    <w:p w14:paraId="19DC8D8F">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1.因公出国（境）费支出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万元，全年出国（境）团组</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个，累计</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人次。与上年决算相比，增加（减少）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29820A6A">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2.公务用车购置及运行维护费支出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万元。其中：</w:t>
      </w:r>
    </w:p>
    <w:p w14:paraId="77564F5A">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（1）公务用车购置支出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万元。本年度使用一般公共预算财政拨款购置公务用车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辆，开支内容：</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5F14E78F">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（2）公务用车运行维护费支出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万元。公务用车运行维护费主要用于按规定保留的公务用车的燃料费、维修费、过桥过路费、保险费、安全奖励费用等支出。截至</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年12月31日，使用一般公共预算财政拨款开支的公务用车保有量为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50B50E54">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3.公务接待费支出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万元。其中：国内公务接待支出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万元，接待</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批次，</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人次，开支内容：</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；国（境）外公务接待支出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万元，接待</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批次，</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人次，开支内容：</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492A6ADA">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（按“公开10表财政拨款“三公”经费支出决算表”中支出金额及数额填写）</w:t>
      </w:r>
    </w:p>
    <w:p w14:paraId="001FD1CF">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特别强调1：上述数据逻辑要合理，例如国内公务接待支出有数额时，接待批次要有数量，同时要有接待人次。</w:t>
      </w:r>
    </w:p>
    <w:p w14:paraId="5898DFB5">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特别强调2：“三公”</w:t>
      </w:r>
      <w:r>
        <w:rPr>
          <w:rFonts w:hint="eastAsia" w:eastAsia="仿宋_GB2312"/>
          <w:b w:val="0"/>
          <w:bCs w:val="0"/>
          <w:sz w:val="32"/>
          <w:szCs w:val="32"/>
          <w:highlight w:val="none"/>
        </w:rPr>
        <w:t>经费如合计为零也要分别填列说明。</w:t>
      </w:r>
    </w:p>
    <w:p w14:paraId="07FBDD80">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特别强调3：报告数据要与报表保持一致。例如“车辆保有量”、“</w:t>
      </w:r>
      <w:r>
        <w:rPr>
          <w:rFonts w:hint="eastAsia" w:ascii="仿宋_GB2312" w:hAnsi="仿宋_GB2312" w:eastAsia="仿宋_GB2312" w:cs="仿宋_GB2312"/>
          <w:b w:val="0"/>
          <w:bCs w:val="0"/>
          <w:sz w:val="32"/>
          <w:szCs w:val="32"/>
          <w:highlight w:val="none"/>
        </w:rPr>
        <w:t>公务用车购置数</w:t>
      </w:r>
      <w:r>
        <w:rPr>
          <w:rFonts w:hint="eastAsia" w:ascii="Times New Roman" w:hAnsi="Times New Roman" w:eastAsia="仿宋_GB2312" w:cs="仿宋"/>
          <w:b w:val="0"/>
          <w:bCs w:val="0"/>
          <w:sz w:val="32"/>
          <w:szCs w:val="32"/>
          <w:highlight w:val="none"/>
        </w:rPr>
        <w:t>”等。</w:t>
      </w:r>
    </w:p>
    <w:p w14:paraId="3BF38AE1">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八、政府性基金预算财政拨款支出决算情况说明</w:t>
      </w:r>
    </w:p>
    <w:p w14:paraId="14B12664">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（反映部门（单位）年度政府性基金支出决算情况。政府性基金支出决算数应与“公开08表政府性基金预算财政拨款收入支出决算表”的本年支出决算数一致，并按政府收支分类科目的功能分类“项”级细化列示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0F716C36">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年度政府性基金支出决算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w:t>
      </w:r>
    </w:p>
    <w:p w14:paraId="70E7A98D">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（一）城乡社区支出（类）政府住房基金及对应专项债务收入安排的支出（款）管理费用支出（项）支出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万元，主要用于</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0599943A">
      <w:pPr>
        <w:pStyle w:val="10"/>
        <w:spacing w:after="0" w:line="560" w:lineRule="exact"/>
        <w:ind w:firstLine="640" w:firstLineChars="200"/>
        <w:rPr>
          <w:rFonts w:hint="eastAsia" w:ascii="Times New Roman" w:hAnsi="Times New Roman" w:eastAsia="仿宋_GB2312" w:cs="仿宋"/>
          <w:b w:val="0"/>
          <w:bCs w:val="0"/>
          <w:sz w:val="32"/>
          <w:szCs w:val="32"/>
          <w:highlight w:val="none"/>
          <w:lang w:eastAsia="zh-CN"/>
        </w:rPr>
      </w:pPr>
      <w:r>
        <w:rPr>
          <w:rFonts w:hint="eastAsia" w:ascii="Times New Roman" w:hAnsi="Times New Roman" w:eastAsia="仿宋_GB2312" w:cs="仿宋"/>
          <w:b w:val="0"/>
          <w:bCs w:val="0"/>
          <w:sz w:val="32"/>
          <w:szCs w:val="32"/>
          <w:highlight w:val="none"/>
        </w:rPr>
        <w:t>（二）</w:t>
      </w:r>
      <w:r>
        <w:rPr>
          <w:rFonts w:hint="eastAsia" w:ascii="仿宋_GB2312" w:hAnsi="仿宋_GB2312" w:eastAsia="仿宋_GB2312" w:cs="仿宋"/>
          <w:b w:val="0"/>
          <w:bCs w:val="0"/>
          <w:sz w:val="32"/>
          <w:szCs w:val="32"/>
          <w:highlight w:val="none"/>
          <w:lang w:eastAsia="zh-CN"/>
        </w:rPr>
        <w:t>……</w:t>
      </w:r>
    </w:p>
    <w:p w14:paraId="019D2C3A">
      <w:pPr>
        <w:pStyle w:val="10"/>
        <w:spacing w:after="0" w:line="600" w:lineRule="exact"/>
        <w:ind w:left="17" w:leftChars="8"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若不涉及政府性基金预算财政拨款支出，上述总体情况也应说明，只是数据填列为“0”，同时在“变动原因”处说明“本年无政府性基金预算财政拨款支出”或“本部门（单位）无政府性基金预算财政拨款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6D67420D">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九、国有资本经营预算财政拨款支出决算情况说明</w:t>
      </w:r>
    </w:p>
    <w:p w14:paraId="2E2F5DA5">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（反映部门（单位）年度国有资本经营</w:t>
      </w:r>
      <w:r>
        <w:rPr>
          <w:rFonts w:hint="eastAsia" w:ascii="Times New Roman" w:hAnsi="Times New Roman" w:eastAsia="仿宋_GB2312" w:cs="仿宋"/>
          <w:b w:val="0"/>
          <w:bCs w:val="0"/>
          <w:sz w:val="32"/>
          <w:szCs w:val="32"/>
          <w:highlight w:val="none"/>
          <w:lang w:val="en-US" w:eastAsia="zh-CN"/>
        </w:rPr>
        <w:t>预算</w:t>
      </w:r>
      <w:r>
        <w:rPr>
          <w:rFonts w:hint="eastAsia" w:ascii="Times New Roman" w:hAnsi="Times New Roman" w:eastAsia="仿宋_GB2312" w:cs="仿宋"/>
          <w:b w:val="0"/>
          <w:bCs w:val="0"/>
          <w:sz w:val="32"/>
          <w:szCs w:val="32"/>
          <w:highlight w:val="none"/>
        </w:rPr>
        <w:t>支出决算情况。国有资本经营</w:t>
      </w:r>
      <w:r>
        <w:rPr>
          <w:rFonts w:hint="eastAsia" w:ascii="Times New Roman" w:hAnsi="Times New Roman" w:eastAsia="仿宋_GB2312" w:cs="仿宋"/>
          <w:b w:val="0"/>
          <w:bCs w:val="0"/>
          <w:sz w:val="32"/>
          <w:szCs w:val="32"/>
          <w:highlight w:val="none"/>
          <w:lang w:val="en-US" w:eastAsia="zh-CN"/>
        </w:rPr>
        <w:t>预算</w:t>
      </w:r>
      <w:r>
        <w:rPr>
          <w:rFonts w:hint="eastAsia" w:ascii="Times New Roman" w:hAnsi="Times New Roman" w:eastAsia="仿宋_GB2312" w:cs="仿宋"/>
          <w:b w:val="0"/>
          <w:bCs w:val="0"/>
          <w:sz w:val="32"/>
          <w:szCs w:val="32"/>
          <w:highlight w:val="none"/>
        </w:rPr>
        <w:t>支出决算数应与“公开01表收入支出决算总表”的</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国有资本经营预算支出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决算数及“公开09表国有资本经营预算财政拨款支出决算表”的本年支出数一致，并按政府收支分类科目的功能分类“项”级细化列示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78071A80">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 xml:space="preserve">部门（单位）    </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年度国有资本经营预算支出决算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万元。与上年决算相比，增加（减少）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w:t>
      </w:r>
    </w:p>
    <w:p w14:paraId="4F3176B2">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（一）国有资本经营预算支出（类）解决历史遗留问题及改革成本支出（款）“三供一业”移交补助支出（项）支出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万元，主要用于</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4AD45AF2">
      <w:pPr>
        <w:pStyle w:val="10"/>
        <w:spacing w:after="0" w:line="560" w:lineRule="exact"/>
        <w:ind w:firstLine="640" w:firstLineChars="200"/>
        <w:rPr>
          <w:rFonts w:hint="eastAsia" w:ascii="Times New Roman" w:hAnsi="Times New Roman" w:eastAsia="仿宋_GB2312" w:cs="仿宋"/>
          <w:b w:val="0"/>
          <w:bCs w:val="0"/>
          <w:sz w:val="32"/>
          <w:szCs w:val="32"/>
          <w:highlight w:val="none"/>
          <w:lang w:eastAsia="zh-CN"/>
        </w:rPr>
      </w:pPr>
      <w:r>
        <w:rPr>
          <w:rFonts w:hint="eastAsia" w:ascii="Times New Roman" w:hAnsi="Times New Roman" w:eastAsia="仿宋_GB2312" w:cs="仿宋"/>
          <w:b w:val="0"/>
          <w:bCs w:val="0"/>
          <w:sz w:val="32"/>
          <w:szCs w:val="32"/>
          <w:highlight w:val="none"/>
        </w:rPr>
        <w:t>（二）</w:t>
      </w:r>
      <w:r>
        <w:rPr>
          <w:rFonts w:hint="eastAsia" w:ascii="仿宋_GB2312" w:hAnsi="仿宋_GB2312" w:eastAsia="仿宋_GB2312" w:cs="仿宋"/>
          <w:b w:val="0"/>
          <w:bCs w:val="0"/>
          <w:sz w:val="32"/>
          <w:szCs w:val="32"/>
          <w:highlight w:val="none"/>
          <w:lang w:eastAsia="zh-CN"/>
        </w:rPr>
        <w:t>……</w:t>
      </w:r>
    </w:p>
    <w:p w14:paraId="0E21926A">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（若不涉及国有资本经营预算财政拨款支出，上述总体情况也应说明，只是数据填列为“0”，同时在“变动原因”处说明“本年无国有资本经营预算财政拨款支出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或</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本部门（单位）无国有资本经营预算财政拨款支出”</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21712E0F">
      <w:pPr>
        <w:keepNext/>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2"/>
        <w:rPr>
          <w:rFonts w:eastAsia="黑体" w:cs="黑体"/>
          <w:b/>
          <w:bCs/>
          <w:sz w:val="32"/>
          <w:szCs w:val="36"/>
          <w:highlight w:val="none"/>
        </w:rPr>
      </w:pPr>
      <w:r>
        <w:rPr>
          <w:rFonts w:hint="eastAsia" w:eastAsia="黑体" w:cs="黑体"/>
          <w:b/>
          <w:bCs/>
          <w:sz w:val="32"/>
          <w:szCs w:val="36"/>
          <w:highlight w:val="none"/>
        </w:rPr>
        <w:t>十、项目支出决算情况说明</w:t>
      </w:r>
    </w:p>
    <w:p w14:paraId="426BD1CA">
      <w:pPr>
        <w:spacing w:line="560" w:lineRule="exact"/>
        <w:ind w:firstLine="640" w:firstLineChars="200"/>
        <w:rPr>
          <w:rFonts w:eastAsia="仿宋_GB2312" w:cstheme="minorBidi"/>
          <w:b w:val="0"/>
          <w:bCs w:val="0"/>
          <w:sz w:val="32"/>
          <w:szCs w:val="32"/>
          <w:highlight w:val="none"/>
        </w:rPr>
      </w:pPr>
      <w:r>
        <w:rPr>
          <w:rFonts w:hint="eastAsia" w:eastAsia="仿宋_GB2312" w:cstheme="minorBidi"/>
          <w:b w:val="0"/>
          <w:bCs w:val="0"/>
          <w:sz w:val="32"/>
          <w:szCs w:val="32"/>
          <w:highlight w:val="none"/>
        </w:rPr>
        <w:t>（反映部门（单位）年度项目支出决算情况。</w:t>
      </w:r>
      <w:r>
        <w:rPr>
          <w:rFonts w:hint="eastAsia" w:ascii="Times New Roman" w:hAnsi="Times New Roman" w:eastAsia="仿宋_GB2312" w:cs="仿宋"/>
          <w:b w:val="0"/>
          <w:bCs w:val="0"/>
          <w:sz w:val="32"/>
          <w:szCs w:val="32"/>
          <w:highlight w:val="none"/>
        </w:rPr>
        <w:t>按“公开05表项目</w:t>
      </w:r>
      <w:r>
        <w:rPr>
          <w:rFonts w:hint="eastAsia" w:ascii="Times New Roman" w:hAnsi="Times New Roman" w:eastAsia="仿宋_GB2312" w:cs="仿宋"/>
          <w:b w:val="0"/>
          <w:bCs w:val="0"/>
          <w:sz w:val="32"/>
          <w:szCs w:val="32"/>
          <w:highlight w:val="none"/>
          <w:lang w:val="en-US" w:eastAsia="zh-CN"/>
        </w:rPr>
        <w:t>收入支出决算</w:t>
      </w:r>
      <w:r>
        <w:rPr>
          <w:rFonts w:hint="eastAsia" w:ascii="Times New Roman" w:hAnsi="Times New Roman" w:eastAsia="仿宋_GB2312" w:cs="仿宋"/>
          <w:b w:val="0"/>
          <w:bCs w:val="0"/>
          <w:sz w:val="32"/>
          <w:szCs w:val="32"/>
          <w:highlight w:val="none"/>
        </w:rPr>
        <w:t>表”中数据对应填写。</w:t>
      </w:r>
      <w:r>
        <w:rPr>
          <w:rFonts w:hint="eastAsia" w:eastAsia="仿宋_GB2312" w:cstheme="minorBidi"/>
          <w:b w:val="0"/>
          <w:bCs w:val="0"/>
          <w:sz w:val="32"/>
          <w:szCs w:val="32"/>
          <w:highlight w:val="none"/>
        </w:rPr>
        <w:t>）</w:t>
      </w:r>
    </w:p>
    <w:p w14:paraId="286D5614">
      <w:pPr>
        <w:spacing w:line="560" w:lineRule="exact"/>
        <w:ind w:firstLine="640" w:firstLineChars="200"/>
        <w:rPr>
          <w:rFonts w:eastAsia="仿宋_GB2312" w:cstheme="minorBidi"/>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w:t>
      </w:r>
      <w:r>
        <w:rPr>
          <w:rFonts w:hint="eastAsia" w:eastAsia="仿宋_GB2312" w:cstheme="minorBidi"/>
          <w:b w:val="0"/>
          <w:bCs w:val="0"/>
          <w:sz w:val="32"/>
          <w:szCs w:val="32"/>
          <w:highlight w:val="none"/>
        </w:rPr>
        <w:t>预算安排项目</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lang w:val="en-US" w:eastAsia="zh-CN"/>
        </w:rPr>
        <w:t xml:space="preserve">    </w:t>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个，实施项目</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个，完成项目</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个，项目支出总金额</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万元。资金来源包括年初结转结余</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万元，本年财政拨款金额</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万元，本年其他资金</w:t>
      </w:r>
      <w:r>
        <w:rPr>
          <w:rFonts w:hint="eastAsia" w:eastAsia="仿宋_GB2312" w:cstheme="minorBidi"/>
          <w:b w:val="0"/>
          <w:bCs w:val="0"/>
          <w:sz w:val="32"/>
          <w:szCs w:val="32"/>
          <w:highlight w:val="none"/>
          <w:u w:val="single"/>
        </w:rPr>
        <w:tab/>
      </w:r>
      <w:r>
        <w:rPr>
          <w:rFonts w:hint="eastAsia" w:eastAsia="仿宋_GB2312" w:cstheme="minorBidi"/>
          <w:b w:val="0"/>
          <w:bCs w:val="0"/>
          <w:sz w:val="32"/>
          <w:szCs w:val="32"/>
          <w:highlight w:val="none"/>
          <w:u w:val="single"/>
        </w:rPr>
        <w:t xml:space="preserve">   </w:t>
      </w:r>
      <w:r>
        <w:rPr>
          <w:rFonts w:hint="eastAsia" w:eastAsia="仿宋_GB2312" w:cstheme="minorBidi"/>
          <w:b w:val="0"/>
          <w:bCs w:val="0"/>
          <w:sz w:val="32"/>
          <w:szCs w:val="32"/>
          <w:highlight w:val="none"/>
        </w:rPr>
        <w:t>万元。</w:t>
      </w:r>
    </w:p>
    <w:p w14:paraId="7D571BC8">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十一、</w:t>
      </w:r>
      <w:r>
        <w:rPr>
          <w:rFonts w:hint="eastAsia" w:eastAsia="黑体" w:cs="黑体"/>
          <w:b/>
          <w:bCs/>
          <w:sz w:val="32"/>
          <w:szCs w:val="36"/>
          <w:highlight w:val="none"/>
          <w:lang w:val="en-US" w:eastAsia="zh-CN"/>
        </w:rPr>
        <w:t>机构</w:t>
      </w:r>
      <w:r>
        <w:rPr>
          <w:rFonts w:hint="eastAsia" w:eastAsia="黑体" w:cs="黑体"/>
          <w:b/>
          <w:bCs/>
          <w:sz w:val="32"/>
          <w:szCs w:val="36"/>
          <w:highlight w:val="none"/>
        </w:rPr>
        <w:t>运行经费支出决算情况说明</w:t>
      </w:r>
    </w:p>
    <w:p w14:paraId="3D3B189A">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w:t>
      </w:r>
      <w:r>
        <w:rPr>
          <w:rFonts w:hint="eastAsia" w:ascii="Times New Roman" w:hAnsi="Times New Roman" w:eastAsia="仿宋_GB2312" w:cs="仿宋"/>
          <w:b w:val="0"/>
          <w:bCs w:val="0"/>
          <w:sz w:val="32"/>
          <w:szCs w:val="32"/>
          <w:highlight w:val="none"/>
          <w:lang w:val="en-US" w:eastAsia="zh-CN"/>
        </w:rPr>
        <w:t>机构</w:t>
      </w:r>
      <w:r>
        <w:rPr>
          <w:rFonts w:hint="eastAsia" w:ascii="Times New Roman" w:hAnsi="Times New Roman" w:eastAsia="仿宋_GB2312" w:cs="仿宋"/>
          <w:b w:val="0"/>
          <w:bCs w:val="0"/>
          <w:sz w:val="32"/>
          <w:szCs w:val="32"/>
          <w:highlight w:val="none"/>
        </w:rPr>
        <w:t>运行经费支出决算</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万元。比上年决算相比，增加（减少）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万元，增长（减少）</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，变动原因：</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7AF3DED6">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w:t>
      </w:r>
      <w:r>
        <w:rPr>
          <w:rFonts w:hint="eastAsia" w:ascii="Times New Roman" w:hAnsi="Times New Roman" w:eastAsia="仿宋_GB2312" w:cs="仿宋"/>
          <w:b w:val="0"/>
          <w:bCs w:val="0"/>
          <w:sz w:val="32"/>
          <w:szCs w:val="32"/>
          <w:highlight w:val="none"/>
          <w:lang w:val="en-US" w:eastAsia="zh-CN"/>
        </w:rPr>
        <w:t>行政单位</w:t>
      </w:r>
      <w:r>
        <w:rPr>
          <w:rFonts w:hint="eastAsia" w:ascii="Times New Roman" w:hAnsi="Times New Roman" w:eastAsia="仿宋_GB2312" w:cs="仿宋"/>
          <w:b w:val="0"/>
          <w:bCs w:val="0"/>
          <w:sz w:val="32"/>
          <w:szCs w:val="32"/>
          <w:highlight w:val="none"/>
        </w:rPr>
        <w:t>、参照公务员法管理事业单位、其他事业单位依据“公开07表一般公共预算财政拨款基本支出决算明细表”公用经费合计数填列</w:t>
      </w:r>
      <w:r>
        <w:rPr>
          <w:rFonts w:hint="eastAsia" w:ascii="Times New Roman" w:hAnsi="Times New Roman"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5FF25A8C">
      <w:pPr>
        <w:spacing w:line="600" w:lineRule="exact"/>
        <w:ind w:left="0" w:leftChars="0" w:firstLine="643" w:firstLineChars="200"/>
        <w:outlineLvl w:val="2"/>
        <w:rPr>
          <w:rFonts w:eastAsia="黑体" w:cs="黑体"/>
          <w:b/>
          <w:bCs/>
          <w:sz w:val="32"/>
          <w:szCs w:val="36"/>
          <w:highlight w:val="none"/>
        </w:rPr>
      </w:pPr>
      <w:r>
        <w:rPr>
          <w:rFonts w:hint="eastAsia" w:eastAsia="黑体" w:cs="黑体"/>
          <w:b/>
          <w:bCs/>
          <w:sz w:val="32"/>
          <w:szCs w:val="36"/>
          <w:highlight w:val="none"/>
        </w:rPr>
        <w:t>十二、政府采购支出决算情况说明</w:t>
      </w:r>
    </w:p>
    <w:p w14:paraId="06C2D798">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年度政府采购支出总额</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万元，其中：政府采购货物支出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万元、政府采购工程支出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万元、政府采购服务支出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万元。政府采购授予中小企业合同金额</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万元，占政府采购支出总额的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，其中：授予小微企业合同金额</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万元，占政府采购支出总额的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w:t>
      </w:r>
    </w:p>
    <w:p w14:paraId="20230559">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（特别强调：依据“公开11表机构运行经费支出、国有资产占用情况及政府采购支出信息表”数据填列。）</w:t>
      </w:r>
    </w:p>
    <w:p w14:paraId="0F07C145">
      <w:pPr>
        <w:keepNext/>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outlineLvl w:val="2"/>
        <w:rPr>
          <w:rFonts w:eastAsia="黑体" w:cs="黑体"/>
          <w:b/>
          <w:bCs/>
          <w:sz w:val="32"/>
          <w:szCs w:val="36"/>
          <w:highlight w:val="none"/>
        </w:rPr>
      </w:pPr>
      <w:r>
        <w:rPr>
          <w:rFonts w:hint="eastAsia" w:eastAsia="黑体" w:cs="黑体"/>
          <w:b/>
          <w:bCs/>
          <w:sz w:val="32"/>
          <w:szCs w:val="36"/>
          <w:highlight w:val="none"/>
        </w:rPr>
        <w:t>十三、国有资产占用情况说明</w:t>
      </w:r>
    </w:p>
    <w:p w14:paraId="14197003">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Times New Roman" w:hAnsi="Times New Roman" w:eastAsia="仿宋_GB2312" w:cs="仿宋"/>
          <w:b w:val="0"/>
          <w:bCs w:val="0"/>
          <w:sz w:val="32"/>
          <w:szCs w:val="32"/>
          <w:highlight w:val="none"/>
        </w:rPr>
        <w:t>截至</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年12月31日，本部门（单位）共有车辆</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辆，其中：副部（省）级及以上领导用车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辆、主要领导干部用车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辆、机要通信用车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辆、应急保障用车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辆、执法执勤用车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u w:val="single"/>
          <w:lang w:val="en-US" w:eastAsia="zh-CN"/>
        </w:rPr>
        <w:t xml:space="preserve">  </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辆、特种专业技术用车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辆、离退休干部用车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辆，其他用车</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辆；单价50万元（含）以上的通用设备</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台（套），单价100万元（含）以上的专用设备</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台（套）。</w:t>
      </w:r>
    </w:p>
    <w:p w14:paraId="70452598">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（特别强调：依据“公开11表机构运行经费支出、国有资产占用情况及政府采购支出信息表”数据填列。）</w:t>
      </w:r>
    </w:p>
    <w:p w14:paraId="28A126FE">
      <w:pPr>
        <w:spacing w:line="600" w:lineRule="exact"/>
        <w:ind w:left="0" w:leftChars="0" w:firstLine="643" w:firstLineChars="200"/>
        <w:outlineLvl w:val="2"/>
        <w:rPr>
          <w:rFonts w:hint="eastAsia" w:eastAsia="黑体" w:cs="黑体"/>
          <w:b/>
          <w:bCs/>
          <w:sz w:val="32"/>
          <w:szCs w:val="36"/>
          <w:highlight w:val="none"/>
          <w:lang w:val="en-US" w:eastAsia="zh-CN"/>
        </w:rPr>
      </w:pPr>
      <w:r>
        <w:rPr>
          <w:rFonts w:hint="eastAsia" w:eastAsia="黑体" w:cs="黑体"/>
          <w:b/>
          <w:bCs/>
          <w:sz w:val="32"/>
          <w:szCs w:val="36"/>
          <w:highlight w:val="none"/>
        </w:rPr>
        <w:t>十四、预算绩效情况</w:t>
      </w:r>
      <w:r>
        <w:rPr>
          <w:rFonts w:hint="eastAsia" w:eastAsia="黑体" w:cs="黑体"/>
          <w:b/>
          <w:bCs/>
          <w:sz w:val="32"/>
          <w:szCs w:val="36"/>
          <w:highlight w:val="none"/>
          <w:lang w:val="en-US" w:eastAsia="zh-CN"/>
        </w:rPr>
        <w:t>说明</w:t>
      </w:r>
    </w:p>
    <w:p w14:paraId="4FD10A28">
      <w:pPr>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（一）预算绩效管理工作开展情况。</w:t>
      </w:r>
    </w:p>
    <w:p w14:paraId="194FB4AB">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Times New Roman" w:hAnsi="Times New Roman" w:eastAsia="仿宋_GB2312" w:cs="仿宋"/>
          <w:b w:val="0"/>
          <w:bCs w:val="0"/>
          <w:sz w:val="32"/>
          <w:szCs w:val="32"/>
          <w:highlight w:val="none"/>
        </w:rPr>
        <w:t>根据预算绩效管理要求组织对</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年一般公共预算项目支出全面开展绩效自评，其中一级项目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个，二级项目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个，共涉及资金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万元，占一般公共预算项目支出总额的100</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（必须达到100</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）；政府性基金预算项目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个，其中，一级项目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个，二级项目</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个，共涉及资金</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万元，占应纳入绩效自评的政府性基金预算项目支出总额的100</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；......（如有国有资本经营预算、社保基金预算、政府债务项目、政府投资基金项目、PPP项目和政府采购及政府购买</w:t>
      </w:r>
      <w:r>
        <w:rPr>
          <w:rFonts w:hint="eastAsia" w:ascii="Times New Roman" w:hAnsi="Times New Roman" w:eastAsia="仿宋_GB2312" w:cs="仿宋"/>
          <w:b w:val="0"/>
          <w:bCs w:val="0"/>
          <w:sz w:val="32"/>
          <w:szCs w:val="32"/>
          <w:highlight w:val="none"/>
          <w:lang w:val="en-US" w:eastAsia="zh-CN"/>
        </w:rPr>
        <w:t>服务</w:t>
      </w:r>
      <w:r>
        <w:rPr>
          <w:rFonts w:hint="eastAsia" w:ascii="Times New Roman" w:hAnsi="Times New Roman" w:eastAsia="仿宋_GB2312" w:cs="仿宋"/>
          <w:b w:val="0"/>
          <w:bCs w:val="0"/>
          <w:sz w:val="32"/>
          <w:szCs w:val="32"/>
          <w:highlight w:val="none"/>
        </w:rPr>
        <w:t>等继续填列）。</w:t>
      </w:r>
    </w:p>
    <w:p w14:paraId="7554C0A9">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组织对“A项目”、“B项目”、“C项目”等</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个项目开展了部门（单位）评价（此处即为重点评价内容），涉及一般公共预算支出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万元，政府性基金支出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万元，......（还有其他类资金的项目继续填列）。其中，对“A项目”、“B项目”、“C项目”等项目分别委托相关第三方机构开展绩效评价。从评价情况看，以上项目......（此</w:t>
      </w:r>
      <w:r>
        <w:rPr>
          <w:rFonts w:hint="eastAsia" w:ascii="Times New Roman" w:hAnsi="Times New Roman" w:eastAsia="仿宋_GB2312" w:cs="仿宋"/>
          <w:b w:val="0"/>
          <w:bCs w:val="0"/>
          <w:sz w:val="32"/>
          <w:szCs w:val="32"/>
          <w:highlight w:val="none"/>
          <w:lang w:val="en-US" w:eastAsia="zh-CN"/>
        </w:rPr>
        <w:t>处</w:t>
      </w:r>
      <w:r>
        <w:rPr>
          <w:rFonts w:hint="eastAsia" w:ascii="Times New Roman" w:hAnsi="Times New Roman" w:eastAsia="仿宋_GB2312" w:cs="仿宋"/>
          <w:b w:val="0"/>
          <w:bCs w:val="0"/>
          <w:sz w:val="32"/>
          <w:szCs w:val="32"/>
          <w:highlight w:val="none"/>
        </w:rPr>
        <w:t>写重点评价的总结性评价结果，不是重点绩效评价报告全文）。</w:t>
      </w:r>
    </w:p>
    <w:p w14:paraId="515360A3">
      <w:pPr>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（二）部门（单位）决算中项目绩效自评结果。</w:t>
      </w:r>
    </w:p>
    <w:p w14:paraId="006B7573">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仿宋_GB2312" w:hAnsi="仿宋_GB2312" w:eastAsia="仿宋_GB2312" w:cs="仿宋"/>
          <w:b w:val="0"/>
          <w:bCs w:val="0"/>
          <w:sz w:val="32"/>
          <w:szCs w:val="32"/>
          <w:highlight w:val="none"/>
          <w:u w:val="single"/>
          <w:lang w:eastAsia="zh-CN"/>
        </w:rPr>
        <w:t>XX</w:t>
      </w:r>
      <w:r>
        <w:rPr>
          <w:rFonts w:hint="eastAsia" w:ascii="Times New Roman" w:hAnsi="Times New Roman" w:eastAsia="仿宋_GB2312" w:cs="仿宋"/>
          <w:b w:val="0"/>
          <w:bCs w:val="0"/>
          <w:sz w:val="32"/>
          <w:szCs w:val="32"/>
          <w:highlight w:val="none"/>
          <w:u w:val="single"/>
        </w:rPr>
        <w:t>部门（单位）</w:t>
      </w:r>
      <w:r>
        <w:rPr>
          <w:rFonts w:hint="eastAsia" w:ascii="仿宋_GB2312" w:hAnsi="仿宋_GB2312" w:eastAsia="仿宋_GB2312" w:cs="仿宋"/>
          <w:b w:val="0"/>
          <w:bCs w:val="0"/>
          <w:sz w:val="32"/>
          <w:szCs w:val="32"/>
          <w:highlight w:val="none"/>
          <w:lang w:eastAsia="zh-CN"/>
        </w:rPr>
        <w:t>XX</w:t>
      </w:r>
      <w:r>
        <w:rPr>
          <w:rFonts w:hint="eastAsia" w:ascii="Times New Roman" w:hAnsi="Times New Roman" w:eastAsia="仿宋_GB2312" w:cs="仿宋"/>
          <w:b w:val="0"/>
          <w:bCs w:val="0"/>
          <w:sz w:val="32"/>
          <w:szCs w:val="32"/>
          <w:highlight w:val="none"/>
        </w:rPr>
        <w:t>年</w:t>
      </w:r>
      <w:r>
        <w:rPr>
          <w:rFonts w:hint="eastAsia" w:ascii="Times New Roman" w:hAnsi="Times New Roman" w:eastAsia="仿宋_GB2312" w:cs="仿宋"/>
          <w:b w:val="0"/>
          <w:bCs w:val="0"/>
          <w:sz w:val="32"/>
          <w:szCs w:val="32"/>
          <w:highlight w:val="none"/>
          <w:lang w:val="en-US" w:eastAsia="zh-CN"/>
        </w:rPr>
        <w:t>度</w:t>
      </w:r>
      <w:r>
        <w:rPr>
          <w:rFonts w:hint="eastAsia" w:ascii="Times New Roman" w:hAnsi="Times New Roman" w:eastAsia="仿宋_GB2312" w:cs="仿宋"/>
          <w:b w:val="0"/>
          <w:bCs w:val="0"/>
          <w:sz w:val="32"/>
          <w:szCs w:val="32"/>
          <w:highlight w:val="none"/>
        </w:rPr>
        <w:t>在决算中反映“A项目”、“B项目”、“C项目”等</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个一般公共预算项目，以及“D项目”、“E项目”等</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个政府性基金项目， ......（还有其他资金的项目继续填列）共</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个项目的绩效自评结果。</w:t>
      </w:r>
    </w:p>
    <w:p w14:paraId="19618BE4">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1.</w:t>
      </w:r>
      <w:r>
        <w:rPr>
          <w:rFonts w:hint="eastAsia" w:ascii="仿宋_GB2312" w:hAnsi="仿宋_GB2312" w:eastAsia="仿宋_GB2312" w:cs="仿宋"/>
          <w:b w:val="0"/>
          <w:bCs w:val="0"/>
          <w:sz w:val="32"/>
          <w:szCs w:val="32"/>
          <w:highlight w:val="none"/>
          <w:lang w:val="en-US" w:eastAsia="zh-CN"/>
        </w:rPr>
        <w:t>XX</w:t>
      </w:r>
      <w:r>
        <w:rPr>
          <w:rFonts w:hint="eastAsia" w:ascii="Times New Roman" w:hAnsi="Times New Roman" w:eastAsia="仿宋_GB2312" w:cs="仿宋"/>
          <w:b w:val="0"/>
          <w:bCs w:val="0"/>
          <w:sz w:val="32"/>
          <w:szCs w:val="32"/>
          <w:highlight w:val="none"/>
        </w:rPr>
        <w:t>项目自评综述：根据年初设定的绩效目标，项目自评得分</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分。全年预算数为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万元，执行数为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万元，完成预算的</w:t>
      </w:r>
      <w:r>
        <w:rPr>
          <w:rFonts w:hint="eastAsia" w:ascii="Times New Roman" w:hAnsi="Times New Roman" w:eastAsia="仿宋_GB2312" w:cs="仿宋"/>
          <w:b w:val="0"/>
          <w:bCs w:val="0"/>
          <w:sz w:val="32"/>
          <w:szCs w:val="32"/>
          <w:highlight w:val="none"/>
          <w:u w:val="single"/>
        </w:rPr>
        <w:t xml:space="preserve">    </w:t>
      </w:r>
      <w:r>
        <w:rPr>
          <w:rFonts w:hint="eastAsia" w:ascii="仿宋_GB2312" w:hAnsi="仿宋_GB2312" w:eastAsia="仿宋_GB2312" w:cs="仿宋"/>
          <w:b w:val="0"/>
          <w:bCs w:val="0"/>
          <w:sz w:val="32"/>
          <w:szCs w:val="32"/>
          <w:highlight w:val="none"/>
          <w:lang w:eastAsia="zh-CN"/>
        </w:rPr>
        <w:t>%</w:t>
      </w:r>
      <w:r>
        <w:rPr>
          <w:rFonts w:hint="eastAsia" w:ascii="Times New Roman" w:hAnsi="Times New Roman" w:eastAsia="仿宋_GB2312" w:cs="仿宋"/>
          <w:b w:val="0"/>
          <w:bCs w:val="0"/>
          <w:sz w:val="32"/>
          <w:szCs w:val="32"/>
          <w:highlight w:val="none"/>
        </w:rPr>
        <w:t>。项目绩效目标完成情况：（简述核心绩效指标完成情况）。发现的主要问题及原因：（简述）。下一步改进措施：（简述）。</w:t>
      </w:r>
    </w:p>
    <w:p w14:paraId="4D513E47">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2.</w:t>
      </w:r>
      <w:r>
        <w:rPr>
          <w:rFonts w:hint="eastAsia" w:ascii="仿宋_GB2312" w:hAnsi="仿宋_GB2312" w:eastAsia="仿宋_GB2312" w:cs="仿宋"/>
          <w:b w:val="0"/>
          <w:bCs w:val="0"/>
          <w:sz w:val="32"/>
          <w:szCs w:val="32"/>
          <w:highlight w:val="none"/>
          <w:lang w:val="en-US" w:eastAsia="zh-CN"/>
        </w:rPr>
        <w:t>XX</w:t>
      </w:r>
      <w:r>
        <w:rPr>
          <w:rFonts w:hint="eastAsia" w:ascii="Times New Roman" w:hAnsi="Times New Roman" w:eastAsia="仿宋_GB2312" w:cs="仿宋"/>
          <w:b w:val="0"/>
          <w:bCs w:val="0"/>
          <w:sz w:val="32"/>
          <w:szCs w:val="32"/>
          <w:highlight w:val="none"/>
        </w:rPr>
        <w:t>项目自评综述：</w:t>
      </w:r>
    </w:p>
    <w:p w14:paraId="681F97ED">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......（以此类推）</w:t>
      </w:r>
    </w:p>
    <w:p w14:paraId="17EB1BD2">
      <w:pPr>
        <w:pStyle w:val="10"/>
        <w:spacing w:after="0" w:line="560" w:lineRule="exact"/>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（所有项目自评综述完成后，按项目顺序列示项目支出绩效自评表，一个项目一张项目支出绩效自评表。</w:t>
      </w:r>
      <w:r>
        <w:rPr>
          <w:rFonts w:hint="eastAsia" w:ascii="Times New Roman" w:hAnsi="Times New Roman" w:eastAsia="仿宋_GB2312" w:cs="仿宋"/>
          <w:b w:val="0"/>
          <w:bCs w:val="0"/>
          <w:sz w:val="32"/>
          <w:szCs w:val="32"/>
          <w:highlight w:val="none"/>
          <w:lang w:val="en-US" w:eastAsia="zh-CN"/>
        </w:rPr>
        <w:t>见</w:t>
      </w:r>
      <w:r>
        <w:rPr>
          <w:rFonts w:hint="eastAsia" w:ascii="Times New Roman" w:hAnsi="Times New Roman" w:eastAsia="仿宋_GB2312" w:cs="仿宋"/>
          <w:b w:val="0"/>
          <w:bCs w:val="0"/>
          <w:sz w:val="32"/>
          <w:szCs w:val="32"/>
          <w:highlight w:val="none"/>
        </w:rPr>
        <w:t>附件4）</w:t>
      </w:r>
    </w:p>
    <w:p w14:paraId="730D24D4">
      <w:pPr>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（三）部门</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lang w:val="en-US" w:eastAsia="zh-CN"/>
        </w:rPr>
        <w:t>单位</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rPr>
        <w:t>项目绩效评价结果。</w:t>
      </w:r>
    </w:p>
    <w:p w14:paraId="4F4722DC">
      <w:pPr>
        <w:pStyle w:val="10"/>
        <w:spacing w:after="0"/>
        <w:ind w:firstLine="640" w:firstLineChars="200"/>
        <w:rPr>
          <w:rFonts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以A项目为例，该项目绩效评价综合得分为</w:t>
      </w:r>
      <w:r>
        <w:rPr>
          <w:rFonts w:hint="eastAsia" w:ascii="Times New Roman" w:hAnsi="Times New Roman" w:eastAsia="仿宋_GB2312" w:cs="仿宋"/>
          <w:b w:val="0"/>
          <w:bCs w:val="0"/>
          <w:sz w:val="32"/>
          <w:szCs w:val="32"/>
          <w:highlight w:val="none"/>
          <w:u w:val="single"/>
        </w:rPr>
        <w:t xml:space="preserve">    </w:t>
      </w:r>
      <w:r>
        <w:rPr>
          <w:rFonts w:hint="eastAsia" w:ascii="Times New Roman" w:hAnsi="Times New Roman" w:eastAsia="仿宋_GB2312" w:cs="仿宋"/>
          <w:b w:val="0"/>
          <w:bCs w:val="0"/>
          <w:sz w:val="32"/>
          <w:szCs w:val="32"/>
          <w:highlight w:val="none"/>
        </w:rPr>
        <w:t>分，绩效评价结果为“优”。重点项目绩效评价得分情况详见部门（单位）具体绩效评价结果。</w:t>
      </w:r>
    </w:p>
    <w:p w14:paraId="45EB8720">
      <w:pPr>
        <w:pStyle w:val="10"/>
        <w:spacing w:after="0" w:line="560" w:lineRule="exact"/>
        <w:ind w:firstLine="640" w:firstLineChars="200"/>
        <w:rPr>
          <w:rFonts w:hint="eastAsia" w:ascii="Times New Roman" w:hAnsi="Times New Roman" w:eastAsia="仿宋_GB2312" w:cs="仿宋"/>
          <w:b w:val="0"/>
          <w:bCs w:val="0"/>
          <w:sz w:val="32"/>
          <w:szCs w:val="32"/>
          <w:highlight w:val="none"/>
        </w:rPr>
      </w:pPr>
      <w:r>
        <w:rPr>
          <w:rFonts w:hint="eastAsia" w:ascii="Times New Roman" w:hAnsi="Times New Roman" w:eastAsia="仿宋_GB2312" w:cs="仿宋"/>
          <w:b w:val="0"/>
          <w:bCs w:val="0"/>
          <w:sz w:val="32"/>
          <w:szCs w:val="32"/>
          <w:highlight w:val="none"/>
        </w:rPr>
        <w:t>（从部门评价报告选择一例报告进行</w:t>
      </w:r>
      <w:r>
        <w:rPr>
          <w:rFonts w:hint="eastAsia" w:ascii="Times New Roman" w:hAnsi="Times New Roman" w:eastAsia="仿宋_GB2312" w:cs="仿宋"/>
          <w:b w:val="0"/>
          <w:bCs w:val="0"/>
          <w:sz w:val="32"/>
          <w:szCs w:val="32"/>
          <w:highlight w:val="none"/>
          <w:lang w:val="en-US" w:eastAsia="zh-CN"/>
        </w:rPr>
        <w:t>公开</w:t>
      </w:r>
      <w:r>
        <w:rPr>
          <w:rFonts w:hint="eastAsia" w:ascii="Times New Roman" w:hAnsi="Times New Roman" w:eastAsia="仿宋_GB2312" w:cs="仿宋"/>
          <w:b w:val="0"/>
          <w:bCs w:val="0"/>
          <w:sz w:val="32"/>
          <w:szCs w:val="32"/>
          <w:highlight w:val="none"/>
        </w:rPr>
        <w:t>，报告模板参考项目支出绩效管理办法关于绩效评价报告要求。）</w:t>
      </w:r>
    </w:p>
    <w:p w14:paraId="65FF76F0">
      <w:pPr>
        <w:pStyle w:val="10"/>
        <w:spacing w:after="0" w:line="560" w:lineRule="exact"/>
        <w:ind w:firstLine="640" w:firstLineChars="200"/>
        <w:rPr>
          <w:rFonts w:hint="eastAsia" w:ascii="Times New Roman" w:hAnsi="Times New Roman" w:eastAsia="仿宋_GB2312" w:cs="仿宋"/>
          <w:b w:val="0"/>
          <w:bCs w:val="0"/>
          <w:sz w:val="32"/>
          <w:szCs w:val="32"/>
          <w:highlight w:val="none"/>
        </w:rPr>
      </w:pPr>
    </w:p>
    <w:p w14:paraId="7615A503">
      <w:pPr>
        <w:pStyle w:val="5"/>
        <w:tabs>
          <w:tab w:val="left" w:pos="4392"/>
        </w:tabs>
        <w:adjustRightInd/>
        <w:snapToGrid/>
        <w:spacing w:before="0" w:after="0" w:line="360" w:lineRule="auto"/>
        <w:ind w:firstLine="0" w:firstLineChars="0"/>
        <w:jc w:val="center"/>
        <w:rPr>
          <w:rFonts w:ascii="方正小标宋简体" w:hAnsi="方正小标宋简体" w:eastAsia="方正小标宋简体" w:cs="方正小标宋简体"/>
          <w:b w:val="0"/>
          <w:bCs w:val="0"/>
          <w:sz w:val="36"/>
          <w:szCs w:val="36"/>
          <w:highlight w:val="none"/>
        </w:rPr>
      </w:pPr>
      <w:bookmarkStart w:id="20" w:name="_Toc8682"/>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0"/>
    </w:p>
    <w:p w14:paraId="5B92DCCF">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一、财政拨款收入：</w:t>
      </w:r>
      <w:r>
        <w:rPr>
          <w:rFonts w:hint="eastAsia" w:ascii="Times New Roman" w:hAnsi="Times New Roman" w:eastAsia="仿宋_GB2312" w:cs="仿宋"/>
          <w:sz w:val="32"/>
          <w:szCs w:val="32"/>
          <w:highlight w:val="none"/>
        </w:rPr>
        <w:t>从同级财政部门取得的各类财政拨款，包括一般公共预算财政拨款、政府性基金预算财政拨款、国有资本经营预算财政拨款。</w:t>
      </w:r>
    </w:p>
    <w:p w14:paraId="60608E48">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二、上级补助收入：</w:t>
      </w:r>
      <w:r>
        <w:rPr>
          <w:rFonts w:hint="eastAsia" w:ascii="Times New Roman" w:hAnsi="Times New Roman" w:eastAsia="仿宋_GB2312" w:cs="仿宋"/>
          <w:sz w:val="32"/>
          <w:szCs w:val="32"/>
          <w:highlight w:val="none"/>
        </w:rPr>
        <w:t>指事业单位从主管部门和上级单位取得的非财政补助收入。</w:t>
      </w:r>
    </w:p>
    <w:p w14:paraId="4E0A1BF5">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三、财政专户管理教育收费：</w:t>
      </w:r>
      <w:r>
        <w:rPr>
          <w:rFonts w:hint="eastAsia" w:ascii="Times New Roman" w:hAnsi="Times New Roman" w:eastAsia="仿宋_GB2312" w:cs="仿宋"/>
          <w:sz w:val="32"/>
          <w:szCs w:val="32"/>
          <w:highlight w:val="none"/>
        </w:rPr>
        <w:t>指缴入财政专户、实行专项管理的高中以上学费、住宿费、高校委托培养费、函大、电大、夜大及短训班培训费等教育收费。</w:t>
      </w:r>
    </w:p>
    <w:p w14:paraId="7F71F510">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四、事业收入：</w:t>
      </w:r>
      <w:r>
        <w:rPr>
          <w:rFonts w:hint="eastAsia" w:ascii="Times New Roman" w:hAnsi="Times New Roman" w:eastAsia="仿宋_GB2312" w:cs="仿宋"/>
          <w:sz w:val="32"/>
          <w:szCs w:val="32"/>
          <w:highlight w:val="none"/>
        </w:rPr>
        <w:t>指事业单位开展专业业务活动及其辅助活动取得的收入。</w:t>
      </w:r>
    </w:p>
    <w:p w14:paraId="519FEA76">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五、经营收入：</w:t>
      </w:r>
      <w:r>
        <w:rPr>
          <w:rFonts w:hint="eastAsia" w:ascii="Times New Roman" w:hAnsi="Times New Roman" w:eastAsia="仿宋_GB2312" w:cs="仿宋"/>
          <w:sz w:val="32"/>
          <w:szCs w:val="32"/>
          <w:highlight w:val="none"/>
        </w:rPr>
        <w:t>指事业单位在专业业务活动及其辅助活动之外开展非独立核算经营活动取得的收入。</w:t>
      </w:r>
    </w:p>
    <w:p w14:paraId="52B1E165">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六、附属单位上缴收入：</w:t>
      </w:r>
      <w:r>
        <w:rPr>
          <w:rFonts w:hint="eastAsia" w:ascii="Times New Roman" w:hAnsi="Times New Roman" w:eastAsia="仿宋_GB2312" w:cs="仿宋"/>
          <w:sz w:val="32"/>
          <w:szCs w:val="32"/>
          <w:highlight w:val="none"/>
        </w:rPr>
        <w:t>指事业单位附属独立核算单位按照有关规定上缴的收入。</w:t>
      </w:r>
    </w:p>
    <w:p w14:paraId="685A9454">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七、其他收入：</w:t>
      </w:r>
      <w:r>
        <w:rPr>
          <w:rFonts w:hint="eastAsia" w:ascii="Times New Roman" w:hAnsi="Times New Roman" w:eastAsia="仿宋_GB2312" w:cs="仿宋"/>
          <w:sz w:val="32"/>
          <w:szCs w:val="32"/>
          <w:highlight w:val="none"/>
        </w:rPr>
        <w:t>取得的除上述“财政拨款收入”、“上级补助收入”、“事业收入”、“经营收入”、“附属单位上缴收入”等以外的各项收入。</w:t>
      </w:r>
    </w:p>
    <w:p w14:paraId="41838BF8">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八、使用非财政拨款结余：</w:t>
      </w:r>
      <w:r>
        <w:rPr>
          <w:rFonts w:hint="eastAsia" w:ascii="Times New Roman" w:hAnsi="Times New Roman" w:eastAsia="仿宋_GB2312" w:cs="仿宋"/>
          <w:sz w:val="32"/>
          <w:szCs w:val="32"/>
          <w:highlight w:val="none"/>
        </w:rPr>
        <w:t>指事业单位按照预算管理要求使用非财政拨款结余弥补当年收支差额的数额。</w:t>
      </w:r>
    </w:p>
    <w:p w14:paraId="07049C89">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九、年初结转和结余：</w:t>
      </w:r>
      <w:r>
        <w:rPr>
          <w:rFonts w:hint="eastAsia" w:ascii="Times New Roman" w:hAnsi="Times New Roman" w:eastAsia="仿宋_GB2312" w:cs="仿宋"/>
          <w:sz w:val="32"/>
          <w:szCs w:val="32"/>
          <w:highlight w:val="none"/>
        </w:rPr>
        <w:t>指单位上年结转本年使用的基本支出结转、项目支出结转和结余、经营结余。</w:t>
      </w:r>
    </w:p>
    <w:p w14:paraId="7B61DFF7">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十、结余分配：</w:t>
      </w:r>
      <w:r>
        <w:rPr>
          <w:rFonts w:hint="eastAsia" w:ascii="Times New Roman" w:hAnsi="Times New Roman" w:eastAsia="仿宋_GB2312" w:cs="仿宋"/>
          <w:sz w:val="32"/>
          <w:szCs w:val="32"/>
          <w:highlight w:val="none"/>
        </w:rPr>
        <w:t>指事业单位按规定缴纳的所得税以及从非财政拨款结余中提取各类结余的情况。</w:t>
      </w:r>
    </w:p>
    <w:p w14:paraId="76595ADB">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十一、年末结转和结余资金：</w:t>
      </w:r>
      <w:r>
        <w:rPr>
          <w:rFonts w:hint="eastAsia" w:ascii="Times New Roman" w:hAnsi="Times New Roman" w:eastAsia="仿宋_GB2312" w:cs="仿宋"/>
          <w:sz w:val="32"/>
          <w:szCs w:val="32"/>
          <w:highlight w:val="none"/>
        </w:rPr>
        <w:t>指单位结转下年的基本支出结转、项目支出结转和结余、经营结余。</w:t>
      </w:r>
    </w:p>
    <w:p w14:paraId="4E0A87EC">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十二、基本支出：</w:t>
      </w:r>
      <w:r>
        <w:rPr>
          <w:rFonts w:hint="eastAsia" w:ascii="Times New Roman" w:hAnsi="Times New Roman" w:eastAsia="仿宋_GB2312" w:cs="仿宋"/>
          <w:sz w:val="32"/>
          <w:szCs w:val="32"/>
          <w:highlight w:val="none"/>
        </w:rPr>
        <w:t>指为保障机构正常运转、完成日常工作任务所发生的支出，包括人员经费和公用经费。</w:t>
      </w:r>
    </w:p>
    <w:p w14:paraId="58BF98A5">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十三、项目支出：</w:t>
      </w:r>
      <w:r>
        <w:rPr>
          <w:rFonts w:hint="eastAsia" w:ascii="Times New Roman" w:hAnsi="Times New Roman" w:eastAsia="仿宋_GB2312" w:cs="仿宋"/>
          <w:sz w:val="32"/>
          <w:szCs w:val="32"/>
          <w:highlight w:val="none"/>
        </w:rPr>
        <w:t>指在为完成特定的工作任务和事业发展目标所发生的支出。</w:t>
      </w:r>
    </w:p>
    <w:p w14:paraId="4E734EAA">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十四、上缴上级支出：</w:t>
      </w:r>
      <w:r>
        <w:rPr>
          <w:rFonts w:hint="eastAsia" w:ascii="Times New Roman" w:hAnsi="Times New Roman" w:eastAsia="仿宋_GB2312" w:cs="仿宋"/>
          <w:sz w:val="32"/>
          <w:szCs w:val="32"/>
          <w:highlight w:val="none"/>
        </w:rPr>
        <w:t>指事业单位按照财政部门和主管部门的规定上缴上级单位的支出。</w:t>
      </w:r>
    </w:p>
    <w:p w14:paraId="708DBB3F">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十五、经营支出：</w:t>
      </w:r>
      <w:r>
        <w:rPr>
          <w:rFonts w:hint="eastAsia" w:ascii="Times New Roman" w:hAnsi="Times New Roman" w:eastAsia="仿宋_GB2312" w:cs="仿宋"/>
          <w:sz w:val="32"/>
          <w:szCs w:val="32"/>
          <w:highlight w:val="none"/>
        </w:rPr>
        <w:t>指事业单位在专业业务活动及其辅助活动之外开展非独立核算经营活动发生的支出。</w:t>
      </w:r>
    </w:p>
    <w:p w14:paraId="4444935E">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十六、对附属单位补助支出：</w:t>
      </w:r>
      <w:r>
        <w:rPr>
          <w:rFonts w:hint="eastAsia" w:ascii="Times New Roman" w:hAnsi="Times New Roman" w:eastAsia="仿宋_GB2312" w:cs="仿宋"/>
          <w:sz w:val="32"/>
          <w:szCs w:val="32"/>
          <w:highlight w:val="none"/>
        </w:rPr>
        <w:t>指事业单位用财政拨款收入之外的收入对附属单位补助发生的支出。</w:t>
      </w:r>
    </w:p>
    <w:p w14:paraId="61F2F52B">
      <w:pPr>
        <w:pStyle w:val="10"/>
        <w:spacing w:after="0" w:line="560" w:lineRule="exact"/>
        <w:ind w:firstLine="643" w:firstLineChars="200"/>
        <w:rPr>
          <w:rFonts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十七、“三公”经费：</w:t>
      </w:r>
      <w:r>
        <w:rPr>
          <w:rFonts w:hint="eastAsia" w:ascii="Times New Roman" w:hAnsi="Times New Roman" w:eastAsia="仿宋_GB2312" w:cs="仿宋"/>
          <w:sz w:val="32"/>
          <w:szCs w:val="32"/>
          <w:highlight w:val="none"/>
        </w:rPr>
        <w:t>指部门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用一般公共预算财政拨款安排的因公出国（境）费、公务用车购置及运行维护费和公务接待费。其中，因公出国（境）费反映部门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公务出国（境）的国际旅费、国外城市间交通费、住宿费、伙食费、培训费、公杂费等支出；公务用车购置及运行维护费反映部门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公务用车购置支出（含车辆购置税、牌照费）以及按规定保留的公务用车燃料费、维修费、过路过桥费、保险费、安全奖励费用等支出；公务接待费反映部门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按规定开支的各类公务接待（含外宾接待）费用。</w:t>
      </w:r>
    </w:p>
    <w:p w14:paraId="6D824429">
      <w:pPr>
        <w:spacing w:line="560" w:lineRule="exact"/>
        <w:ind w:firstLine="643" w:firstLineChars="200"/>
        <w:rPr>
          <w:rFonts w:hint="eastAsia" w:eastAsia="仿宋_GB2312" w:cstheme="minorBidi"/>
          <w:sz w:val="32"/>
          <w:szCs w:val="32"/>
          <w:highlight w:val="none"/>
        </w:rPr>
      </w:pPr>
      <w:r>
        <w:rPr>
          <w:rFonts w:hint="eastAsia" w:ascii="Times New Roman" w:hAnsi="Times New Roman" w:eastAsia="仿宋_GB2312" w:cs="仿宋"/>
          <w:b/>
          <w:bCs/>
          <w:sz w:val="32"/>
          <w:szCs w:val="32"/>
          <w:highlight w:val="none"/>
        </w:rPr>
        <w:t>十八、</w:t>
      </w:r>
      <w:r>
        <w:rPr>
          <w:rFonts w:hint="eastAsia" w:ascii="Times New Roman" w:hAnsi="Times New Roman" w:eastAsia="仿宋_GB2312" w:cs="仿宋"/>
          <w:b/>
          <w:bCs/>
          <w:sz w:val="32"/>
          <w:szCs w:val="32"/>
          <w:highlight w:val="none"/>
          <w:lang w:val="en-US" w:eastAsia="zh-CN"/>
        </w:rPr>
        <w:t>机构</w:t>
      </w:r>
      <w:r>
        <w:rPr>
          <w:rFonts w:hint="eastAsia" w:ascii="Times New Roman" w:hAnsi="Times New Roman" w:eastAsia="仿宋_GB2312" w:cs="仿宋"/>
          <w:b/>
          <w:bCs/>
          <w:sz w:val="32"/>
          <w:szCs w:val="32"/>
          <w:highlight w:val="none"/>
        </w:rPr>
        <w:t>运行经费：</w:t>
      </w:r>
      <w:r>
        <w:rPr>
          <w:rFonts w:hint="eastAsia" w:eastAsia="仿宋_GB2312" w:cs="仿宋"/>
          <w:b w:val="0"/>
          <w:bCs w:val="0"/>
          <w:sz w:val="32"/>
          <w:szCs w:val="32"/>
          <w:highlight w:val="none"/>
          <w:lang w:val="en-US" w:eastAsia="zh-CN"/>
        </w:rPr>
        <w:t>指</w:t>
      </w:r>
      <w:r>
        <w:rPr>
          <w:rFonts w:hint="eastAsia" w:ascii="Times New Roman" w:hAnsi="Times New Roman" w:eastAsia="仿宋_GB2312" w:cs="仿宋"/>
          <w:sz w:val="32"/>
          <w:szCs w:val="32"/>
          <w:highlight w:val="none"/>
        </w:rPr>
        <w:t>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57BC3BA8">
      <w:pPr>
        <w:ind w:firstLine="640"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（各部门</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单位</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rPr>
        <w:t>应根据公开决算表中对应的经费情况进行名词解释，对未涉及的名词可以删除）</w:t>
      </w:r>
    </w:p>
    <w:p w14:paraId="0806B157">
      <w:pPr>
        <w:pStyle w:val="2"/>
        <w:rPr>
          <w:rFonts w:hint="eastAsia"/>
        </w:rPr>
      </w:pPr>
    </w:p>
    <w:p w14:paraId="4C9D1B02">
      <w:pPr>
        <w:pStyle w:val="5"/>
        <w:tabs>
          <w:tab w:val="left" w:pos="4392"/>
        </w:tabs>
        <w:adjustRightInd/>
        <w:snapToGrid/>
        <w:spacing w:before="0" w:after="0" w:line="360" w:lineRule="auto"/>
        <w:ind w:firstLine="0" w:firstLineChars="0"/>
        <w:jc w:val="center"/>
        <w:rPr>
          <w:rFonts w:hint="eastAsia" w:ascii="方正小标宋简体" w:hAnsi="方正小标宋简体" w:eastAsia="方正小标宋简体" w:cs="方正小标宋简体"/>
          <w:b w:val="0"/>
          <w:bCs w:val="0"/>
          <w:sz w:val="36"/>
          <w:szCs w:val="36"/>
          <w:highlight w:val="none"/>
        </w:rPr>
      </w:pPr>
      <w:bookmarkStart w:id="21" w:name="_Toc27853"/>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决算</w:t>
      </w:r>
      <w:r>
        <w:rPr>
          <w:rFonts w:hint="eastAsia" w:ascii="方正小标宋简体" w:hAnsi="方正小标宋简体" w:eastAsia="方正小标宋简体" w:cs="方正小标宋简体"/>
          <w:b w:val="0"/>
          <w:bCs w:val="0"/>
          <w:sz w:val="36"/>
          <w:szCs w:val="36"/>
          <w:highlight w:val="none"/>
        </w:rPr>
        <w:t>公开联系方式及信息反馈渠道</w:t>
      </w:r>
      <w:bookmarkEnd w:id="21"/>
    </w:p>
    <w:p w14:paraId="231B6D68">
      <w:pPr>
        <w:snapToGrid w:val="0"/>
        <w:spacing w:line="600" w:lineRule="exact"/>
        <w:rPr>
          <w:rFonts w:ascii="方正小标宋简体" w:hAnsi="方正小标宋简体" w:eastAsia="方正小标宋简体" w:cs="方正小标宋简体"/>
          <w:sz w:val="36"/>
          <w:szCs w:val="36"/>
          <w:highlight w:val="none"/>
        </w:rPr>
      </w:pPr>
    </w:p>
    <w:p w14:paraId="18B8DED2">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w:t>
      </w:r>
      <w:r>
        <w:rPr>
          <w:rFonts w:hint="eastAsia" w:ascii="仿宋_GB2312" w:hAnsi="仿宋_GB2312" w:eastAsia="仿宋_GB2312" w:cs="仿宋_GB2312"/>
          <w:sz w:val="32"/>
          <w:szCs w:val="32"/>
          <w:highlight w:val="none"/>
          <w:lang w:val="en-US" w:eastAsia="zh-CN"/>
        </w:rPr>
        <w:t>决算</w:t>
      </w:r>
      <w:r>
        <w:rPr>
          <w:rFonts w:hint="eastAsia" w:ascii="仿宋_GB2312" w:hAnsi="仿宋_GB2312" w:eastAsia="仿宋_GB2312" w:cs="仿宋_GB2312"/>
          <w:sz w:val="32"/>
          <w:szCs w:val="32"/>
          <w:highlight w:val="none"/>
        </w:rPr>
        <w:t>公开信息反馈和联系方式：</w:t>
      </w:r>
    </w:p>
    <w:p w14:paraId="6DAD44A3">
      <w:pPr>
        <w:snapToGrid w:val="0"/>
        <w:spacing w:line="600" w:lineRule="exact"/>
        <w:ind w:firstLine="640" w:firstLineChars="200"/>
        <w:rPr>
          <w:highlight w:val="none"/>
        </w:rPr>
        <w:sectPr>
          <w:pgSz w:w="11906" w:h="16838"/>
          <w:pgMar w:top="1440" w:right="1800" w:bottom="1440" w:left="1800" w:header="851" w:footer="992" w:gutter="0"/>
          <w:pgNumType w:fmt="numberInDash"/>
          <w:cols w:space="425" w:num="1"/>
          <w:docGrid w:type="lines" w:linePitch="312" w:charSpace="0"/>
        </w:sectPr>
      </w:pPr>
      <w:r>
        <w:rPr>
          <w:rFonts w:hint="eastAsia" w:ascii="仿宋_GB2312" w:hAnsi="仿宋_GB2312" w:eastAsia="仿宋_GB2312" w:cs="仿宋_GB2312"/>
          <w:sz w:val="32"/>
          <w:szCs w:val="32"/>
          <w:highlight w:val="none"/>
        </w:rPr>
        <w:t>联系人：               联系电话：</w:t>
      </w:r>
    </w:p>
    <w:p w14:paraId="24300113">
      <w:pPr>
        <w:pStyle w:val="5"/>
        <w:tabs>
          <w:tab w:val="left" w:pos="4392"/>
        </w:tabs>
        <w:adjustRightInd/>
        <w:snapToGrid/>
        <w:spacing w:before="0" w:after="0" w:line="360" w:lineRule="auto"/>
        <w:ind w:firstLine="0" w:firstLineChars="0"/>
        <w:jc w:val="center"/>
        <w:rPr>
          <w:rFonts w:ascii="宋体" w:eastAsia="宋体"/>
          <w:sz w:val="20"/>
          <w:highlight w:val="none"/>
        </w:rPr>
        <w:sectPr>
          <w:pgSz w:w="16840" w:h="11910" w:orient="landscape"/>
          <w:pgMar w:top="1134" w:right="1700" w:bottom="1134" w:left="1720" w:header="720" w:footer="720" w:gutter="0"/>
          <w:pgNumType w:fmt="numberInDash"/>
          <w:cols w:space="720" w:num="1"/>
        </w:sectPr>
      </w:pPr>
      <w:bookmarkStart w:id="22" w:name="_Toc22275"/>
      <w:r>
        <w:rPr>
          <w:rFonts w:hint="eastAsia" w:ascii="方正小标宋简体" w:hAnsi="方正小标宋简体" w:eastAsia="方正小标宋简体" w:cs="方正小标宋简体"/>
          <w:b w:val="0"/>
          <w:bCs w:val="0"/>
          <w:sz w:val="36"/>
          <w:szCs w:val="36"/>
          <w:highlight w:val="none"/>
        </w:rPr>
        <w:t>第</w:t>
      </w:r>
      <w:r>
        <w:rPr>
          <w:rFonts w:hint="eastAsia" w:ascii="方正小标宋简体" w:hAnsi="方正小标宋简体" w:eastAsia="方正小标宋简体" w:cs="方正小标宋简体"/>
          <w:b w:val="0"/>
          <w:bCs w:val="0"/>
          <w:sz w:val="36"/>
          <w:szCs w:val="36"/>
          <w:highlight w:val="none"/>
          <w:lang w:val="en-US" w:eastAsia="zh-CN"/>
        </w:rPr>
        <w:t>五</w:t>
      </w:r>
      <w:r>
        <w:rPr>
          <w:rFonts w:hint="eastAsia" w:ascii="方正小标宋简体" w:hAnsi="方正小标宋简体" w:eastAsia="方正小标宋简体" w:cs="方正小标宋简体"/>
          <w:b w:val="0"/>
          <w:bCs w:val="0"/>
          <w:sz w:val="36"/>
          <w:szCs w:val="36"/>
          <w:highlight w:val="none"/>
        </w:rPr>
        <w:t>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XX部门（单位）XX年度部门决算表</w:t>
      </w:r>
      <w:bookmarkEnd w:id="22"/>
      <w:bookmarkStart w:id="25" w:name="_GoBack"/>
      <w:bookmarkEnd w:id="25"/>
    </w:p>
    <w:p w14:paraId="0883C2B0">
      <w:pPr>
        <w:pStyle w:val="4"/>
        <w:tabs>
          <w:tab w:val="left" w:pos="6669"/>
        </w:tabs>
        <w:rPr>
          <w:rFonts w:hint="eastAsia" w:ascii="仿宋_GB2312" w:eastAsia="仿宋_GB2312"/>
          <w:sz w:val="32"/>
          <w:szCs w:val="32"/>
          <w:highlight w:val="none"/>
          <w:lang w:eastAsia="zh-CN"/>
        </w:rPr>
      </w:pPr>
      <w:bookmarkStart w:id="23" w:name="_Toc18931"/>
      <w:r>
        <w:rPr>
          <w:rFonts w:hint="eastAsia" w:ascii="仿宋_GB2312" w:eastAsia="仿宋_GB2312"/>
          <w:sz w:val="32"/>
          <w:szCs w:val="32"/>
          <w:highlight w:val="none"/>
        </w:rPr>
        <w:t>附件3.部门（单位）整体绩效目标</w:t>
      </w:r>
      <w:r>
        <w:rPr>
          <w:rFonts w:hint="eastAsia" w:ascii="仿宋_GB2312" w:eastAsia="仿宋_GB2312"/>
          <w:sz w:val="32"/>
          <w:szCs w:val="32"/>
          <w:highlight w:val="none"/>
          <w:lang w:val="en-US" w:eastAsia="zh-CN"/>
        </w:rPr>
        <w:t>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23"/>
    </w:p>
    <w:p w14:paraId="2466EE34">
      <w:pPr>
        <w:spacing w:line="360" w:lineRule="auto"/>
        <w:jc w:val="center"/>
        <w:rPr>
          <w:rFonts w:hint="eastAsia" w:ascii="仿宋_GB2312" w:eastAsia="仿宋_GB2312"/>
          <w:sz w:val="36"/>
          <w:szCs w:val="36"/>
          <w:highlight w:val="none"/>
          <w:lang w:val="en-US" w:eastAsia="zh-CN"/>
        </w:rPr>
      </w:pPr>
      <w:r>
        <w:rPr>
          <w:rFonts w:hint="eastAsia" w:ascii="仿宋_GB2312" w:eastAsia="仿宋_GB2312"/>
          <w:sz w:val="36"/>
          <w:szCs w:val="36"/>
          <w:highlight w:val="none"/>
        </w:rPr>
        <w:t>整体绩效目标</w:t>
      </w:r>
      <w:r>
        <w:rPr>
          <w:rFonts w:hint="eastAsia" w:ascii="仿宋_GB2312" w:eastAsia="仿宋_GB2312"/>
          <w:sz w:val="36"/>
          <w:szCs w:val="36"/>
          <w:highlight w:val="none"/>
          <w:lang w:val="en-US" w:eastAsia="zh-CN"/>
        </w:rPr>
        <w:t>表</w:t>
      </w:r>
    </w:p>
    <w:p w14:paraId="385306F4">
      <w:pPr>
        <w:pStyle w:val="2"/>
        <w:spacing w:after="0" w:line="360" w:lineRule="auto"/>
        <w:ind w:left="0" w:leftChars="0" w:firstLine="0"/>
        <w:jc w:val="center"/>
        <w:rPr>
          <w:rFonts w:hint="default"/>
          <w:highlight w:val="none"/>
        </w:rPr>
      </w:pPr>
      <w:r>
        <w:rPr>
          <w:highlight w:val="none"/>
        </w:rPr>
        <w:t>（    年度）</w:t>
      </w:r>
    </w:p>
    <w:tbl>
      <w:tblPr>
        <w:tblStyle w:val="19"/>
        <w:tblW w:w="832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46"/>
        <w:gridCol w:w="1200"/>
        <w:gridCol w:w="1270"/>
        <w:gridCol w:w="1161"/>
        <w:gridCol w:w="1383"/>
        <w:gridCol w:w="1189"/>
        <w:gridCol w:w="1172"/>
      </w:tblGrid>
      <w:tr w14:paraId="09166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2146" w:type="dxa"/>
            <w:gridSpan w:val="2"/>
            <w:vAlign w:val="center"/>
          </w:tcPr>
          <w:p w14:paraId="515BEE82">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单位名称</w:t>
            </w:r>
          </w:p>
        </w:tc>
        <w:tc>
          <w:tcPr>
            <w:tcW w:w="3814" w:type="dxa"/>
            <w:gridSpan w:val="3"/>
            <w:vAlign w:val="center"/>
          </w:tcPr>
          <w:p w14:paraId="553AB543">
            <w:pPr>
              <w:pStyle w:val="39"/>
              <w:spacing w:line="240" w:lineRule="exact"/>
              <w:jc w:val="center"/>
              <w:rPr>
                <w:rFonts w:ascii="Times New Roman" w:hAnsi="Times New Roman" w:eastAsia="仿宋" w:cs="Times New Roman"/>
                <w:highlight w:val="none"/>
              </w:rPr>
            </w:pPr>
          </w:p>
        </w:tc>
        <w:tc>
          <w:tcPr>
            <w:tcW w:w="1189" w:type="dxa"/>
            <w:vAlign w:val="center"/>
          </w:tcPr>
          <w:p w14:paraId="5C72C679">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资金总额</w:t>
            </w:r>
          </w:p>
        </w:tc>
        <w:tc>
          <w:tcPr>
            <w:tcW w:w="1172" w:type="dxa"/>
            <w:vAlign w:val="center"/>
          </w:tcPr>
          <w:p w14:paraId="16C52A4F">
            <w:pPr>
              <w:pStyle w:val="39"/>
              <w:spacing w:line="240" w:lineRule="exact"/>
              <w:jc w:val="center"/>
              <w:rPr>
                <w:rFonts w:ascii="Times New Roman" w:hAnsi="Times New Roman" w:eastAsia="仿宋" w:cs="Times New Roman"/>
                <w:highlight w:val="none"/>
              </w:rPr>
            </w:pPr>
          </w:p>
        </w:tc>
      </w:tr>
      <w:tr w14:paraId="15DC4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Align w:val="center"/>
          </w:tcPr>
          <w:p w14:paraId="51234A61">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一级指标</w:t>
            </w:r>
          </w:p>
        </w:tc>
        <w:tc>
          <w:tcPr>
            <w:tcW w:w="1200" w:type="dxa"/>
            <w:vAlign w:val="center"/>
          </w:tcPr>
          <w:p w14:paraId="56C5C482">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二级指标</w:t>
            </w:r>
          </w:p>
        </w:tc>
        <w:tc>
          <w:tcPr>
            <w:tcW w:w="1270" w:type="dxa"/>
            <w:vAlign w:val="center"/>
          </w:tcPr>
          <w:p w14:paraId="6113673A">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w:t>
            </w:r>
          </w:p>
        </w:tc>
        <w:tc>
          <w:tcPr>
            <w:tcW w:w="1161" w:type="dxa"/>
            <w:vAlign w:val="center"/>
          </w:tcPr>
          <w:p w14:paraId="658E43D2">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对应项目</w:t>
            </w:r>
          </w:p>
        </w:tc>
        <w:tc>
          <w:tcPr>
            <w:tcW w:w="1383" w:type="dxa"/>
            <w:vAlign w:val="center"/>
          </w:tcPr>
          <w:p w14:paraId="26BD1287">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三级指标</w:t>
            </w:r>
          </w:p>
        </w:tc>
        <w:tc>
          <w:tcPr>
            <w:tcW w:w="1189" w:type="dxa"/>
            <w:vAlign w:val="center"/>
          </w:tcPr>
          <w:p w14:paraId="299B7A43">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半年指标值</w:t>
            </w:r>
          </w:p>
        </w:tc>
        <w:tc>
          <w:tcPr>
            <w:tcW w:w="1172" w:type="dxa"/>
            <w:vAlign w:val="center"/>
          </w:tcPr>
          <w:p w14:paraId="78C6E3C4">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全年指标值</w:t>
            </w:r>
          </w:p>
        </w:tc>
      </w:tr>
      <w:tr w14:paraId="6CB7F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restart"/>
            <w:vAlign w:val="center"/>
          </w:tcPr>
          <w:p w14:paraId="28AC8112">
            <w:pPr>
              <w:pStyle w:val="39"/>
              <w:spacing w:line="240" w:lineRule="exact"/>
              <w:jc w:val="center"/>
              <w:rPr>
                <w:rFonts w:ascii="Times New Roman" w:hAnsi="Times New Roman" w:eastAsia="仿宋" w:cs="Times New Roman"/>
                <w:highlight w:val="none"/>
              </w:rPr>
            </w:pPr>
          </w:p>
          <w:p w14:paraId="20995CB9">
            <w:pPr>
              <w:pStyle w:val="39"/>
              <w:spacing w:line="240" w:lineRule="exact"/>
              <w:jc w:val="center"/>
              <w:rPr>
                <w:rFonts w:ascii="Times New Roman" w:hAnsi="Times New Roman" w:eastAsia="仿宋" w:cs="Times New Roman"/>
                <w:highlight w:val="none"/>
              </w:rPr>
            </w:pPr>
          </w:p>
          <w:p w14:paraId="70BA6C3C">
            <w:pPr>
              <w:pStyle w:val="39"/>
              <w:spacing w:line="240" w:lineRule="exact"/>
              <w:jc w:val="center"/>
              <w:rPr>
                <w:rFonts w:ascii="Times New Roman" w:hAnsi="Times New Roman" w:eastAsia="仿宋" w:cs="Times New Roman"/>
                <w:highlight w:val="none"/>
              </w:rPr>
            </w:pPr>
          </w:p>
          <w:p w14:paraId="147002C4">
            <w:pPr>
              <w:pStyle w:val="39"/>
              <w:spacing w:line="240" w:lineRule="exact"/>
              <w:jc w:val="center"/>
              <w:rPr>
                <w:rFonts w:ascii="Times New Roman" w:hAnsi="Times New Roman" w:eastAsia="仿宋" w:cs="Times New Roman"/>
                <w:highlight w:val="none"/>
              </w:rPr>
            </w:pPr>
          </w:p>
          <w:p w14:paraId="5E4A492F">
            <w:pPr>
              <w:pStyle w:val="39"/>
              <w:spacing w:line="240" w:lineRule="exact"/>
              <w:jc w:val="center"/>
              <w:rPr>
                <w:rFonts w:ascii="Times New Roman" w:hAnsi="Times New Roman" w:eastAsia="仿宋" w:cs="Times New Roman"/>
                <w:highlight w:val="none"/>
              </w:rPr>
            </w:pPr>
          </w:p>
          <w:p w14:paraId="7051D89D">
            <w:pPr>
              <w:pStyle w:val="39"/>
              <w:spacing w:line="240" w:lineRule="exact"/>
              <w:jc w:val="center"/>
              <w:rPr>
                <w:rFonts w:ascii="Times New Roman" w:hAnsi="Times New Roman" w:eastAsia="仿宋" w:cs="Times New Roman"/>
                <w:highlight w:val="none"/>
              </w:rPr>
            </w:pPr>
          </w:p>
          <w:p w14:paraId="6D35816A">
            <w:pPr>
              <w:pStyle w:val="39"/>
              <w:spacing w:line="240" w:lineRule="exact"/>
              <w:jc w:val="center"/>
              <w:rPr>
                <w:rFonts w:ascii="Times New Roman" w:hAnsi="Times New Roman" w:eastAsia="仿宋" w:cs="Times New Roman"/>
                <w:highlight w:val="none"/>
              </w:rPr>
            </w:pPr>
          </w:p>
          <w:p w14:paraId="1E879C91">
            <w:pPr>
              <w:pStyle w:val="39"/>
              <w:spacing w:line="240" w:lineRule="exact"/>
              <w:jc w:val="center"/>
              <w:rPr>
                <w:rFonts w:ascii="Times New Roman" w:hAnsi="Times New Roman" w:eastAsia="仿宋" w:cs="Times New Roman"/>
                <w:highlight w:val="none"/>
              </w:rPr>
            </w:pPr>
          </w:p>
          <w:p w14:paraId="4177DCAF">
            <w:pPr>
              <w:pStyle w:val="39"/>
              <w:spacing w:line="240" w:lineRule="exact"/>
              <w:jc w:val="center"/>
              <w:rPr>
                <w:rFonts w:ascii="Times New Roman" w:hAnsi="Times New Roman" w:eastAsia="仿宋" w:cs="Times New Roman"/>
                <w:sz w:val="25"/>
                <w:highlight w:val="none"/>
              </w:rPr>
            </w:pPr>
          </w:p>
          <w:p w14:paraId="02B1212A">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履职</w:t>
            </w:r>
          </w:p>
        </w:tc>
        <w:tc>
          <w:tcPr>
            <w:tcW w:w="1200" w:type="dxa"/>
            <w:vMerge w:val="restart"/>
            <w:vAlign w:val="center"/>
          </w:tcPr>
          <w:p w14:paraId="79563EC4">
            <w:pPr>
              <w:pStyle w:val="39"/>
              <w:spacing w:line="240" w:lineRule="exact"/>
              <w:jc w:val="center"/>
              <w:rPr>
                <w:rFonts w:ascii="Times New Roman" w:hAnsi="Times New Roman" w:eastAsia="仿宋" w:cs="Times New Roman"/>
                <w:highlight w:val="none"/>
              </w:rPr>
            </w:pPr>
          </w:p>
          <w:p w14:paraId="5710E7C8">
            <w:pPr>
              <w:pStyle w:val="39"/>
              <w:spacing w:line="240" w:lineRule="exact"/>
              <w:jc w:val="center"/>
              <w:rPr>
                <w:rFonts w:ascii="Times New Roman" w:hAnsi="Times New Roman" w:eastAsia="仿宋" w:cs="Times New Roman"/>
                <w:highlight w:val="none"/>
              </w:rPr>
            </w:pPr>
          </w:p>
          <w:p w14:paraId="1BAFA31E">
            <w:pPr>
              <w:pStyle w:val="39"/>
              <w:spacing w:line="240" w:lineRule="exact"/>
              <w:jc w:val="center"/>
              <w:rPr>
                <w:rFonts w:ascii="Times New Roman" w:hAnsi="Times New Roman" w:eastAsia="仿宋" w:cs="Times New Roman"/>
                <w:highlight w:val="none"/>
              </w:rPr>
            </w:pPr>
          </w:p>
          <w:p w14:paraId="0C4CD57B">
            <w:pPr>
              <w:pStyle w:val="39"/>
              <w:spacing w:line="240" w:lineRule="exact"/>
              <w:jc w:val="center"/>
              <w:rPr>
                <w:rFonts w:ascii="Times New Roman" w:hAnsi="Times New Roman" w:eastAsia="仿宋" w:cs="Times New Roman"/>
                <w:sz w:val="18"/>
                <w:highlight w:val="none"/>
              </w:rPr>
            </w:pPr>
          </w:p>
          <w:p w14:paraId="1F97DA91">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职能1</w:t>
            </w:r>
          </w:p>
        </w:tc>
        <w:tc>
          <w:tcPr>
            <w:tcW w:w="1270" w:type="dxa"/>
            <w:vMerge w:val="restart"/>
            <w:vAlign w:val="center"/>
          </w:tcPr>
          <w:p w14:paraId="6B14F0B6">
            <w:pPr>
              <w:pStyle w:val="39"/>
              <w:spacing w:line="240" w:lineRule="exact"/>
              <w:jc w:val="center"/>
              <w:rPr>
                <w:rFonts w:ascii="Times New Roman" w:hAnsi="Times New Roman" w:eastAsia="仿宋" w:cs="Times New Roman"/>
                <w:sz w:val="25"/>
                <w:highlight w:val="none"/>
              </w:rPr>
            </w:pPr>
          </w:p>
          <w:p w14:paraId="692AA94A">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重点工作1</w:t>
            </w:r>
          </w:p>
        </w:tc>
        <w:tc>
          <w:tcPr>
            <w:tcW w:w="1161" w:type="dxa"/>
            <w:vMerge w:val="restart"/>
            <w:vAlign w:val="center"/>
          </w:tcPr>
          <w:p w14:paraId="75CB02A3">
            <w:pPr>
              <w:pStyle w:val="39"/>
              <w:spacing w:line="240" w:lineRule="exact"/>
              <w:jc w:val="center"/>
              <w:rPr>
                <w:rFonts w:ascii="Times New Roman" w:hAnsi="Times New Roman" w:eastAsia="仿宋" w:cs="Times New Roman"/>
                <w:highlight w:val="none"/>
              </w:rPr>
            </w:pPr>
          </w:p>
        </w:tc>
        <w:tc>
          <w:tcPr>
            <w:tcW w:w="1383" w:type="dxa"/>
            <w:vAlign w:val="center"/>
          </w:tcPr>
          <w:p w14:paraId="6F8C1DCE">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0E902702">
            <w:pPr>
              <w:pStyle w:val="39"/>
              <w:spacing w:line="240" w:lineRule="exact"/>
              <w:jc w:val="center"/>
              <w:rPr>
                <w:rFonts w:ascii="Times New Roman" w:hAnsi="Times New Roman" w:eastAsia="仿宋" w:cs="Times New Roman"/>
                <w:highlight w:val="none"/>
              </w:rPr>
            </w:pPr>
          </w:p>
        </w:tc>
        <w:tc>
          <w:tcPr>
            <w:tcW w:w="1172" w:type="dxa"/>
            <w:vAlign w:val="center"/>
          </w:tcPr>
          <w:p w14:paraId="646B5557">
            <w:pPr>
              <w:pStyle w:val="39"/>
              <w:spacing w:line="240" w:lineRule="exact"/>
              <w:jc w:val="center"/>
              <w:rPr>
                <w:rFonts w:ascii="Times New Roman" w:hAnsi="Times New Roman" w:eastAsia="仿宋" w:cs="Times New Roman"/>
                <w:highlight w:val="none"/>
              </w:rPr>
            </w:pPr>
          </w:p>
        </w:tc>
      </w:tr>
      <w:tr w14:paraId="28705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0C21B75C">
            <w:pPr>
              <w:spacing w:line="240" w:lineRule="exact"/>
              <w:jc w:val="center"/>
              <w:rPr>
                <w:rFonts w:eastAsia="仿宋"/>
                <w:sz w:val="2"/>
                <w:szCs w:val="2"/>
                <w:highlight w:val="none"/>
              </w:rPr>
            </w:pPr>
          </w:p>
        </w:tc>
        <w:tc>
          <w:tcPr>
            <w:tcW w:w="1200" w:type="dxa"/>
            <w:vMerge w:val="continue"/>
            <w:tcBorders>
              <w:top w:val="nil"/>
            </w:tcBorders>
            <w:vAlign w:val="center"/>
          </w:tcPr>
          <w:p w14:paraId="45CBBB62">
            <w:pPr>
              <w:spacing w:line="240" w:lineRule="exact"/>
              <w:jc w:val="center"/>
              <w:rPr>
                <w:rFonts w:eastAsia="仿宋"/>
                <w:sz w:val="2"/>
                <w:szCs w:val="2"/>
                <w:highlight w:val="none"/>
              </w:rPr>
            </w:pPr>
          </w:p>
        </w:tc>
        <w:tc>
          <w:tcPr>
            <w:tcW w:w="1270" w:type="dxa"/>
            <w:vMerge w:val="continue"/>
            <w:tcBorders>
              <w:top w:val="nil"/>
            </w:tcBorders>
            <w:vAlign w:val="center"/>
          </w:tcPr>
          <w:p w14:paraId="38424B75">
            <w:pPr>
              <w:spacing w:line="240" w:lineRule="exact"/>
              <w:jc w:val="center"/>
              <w:rPr>
                <w:rFonts w:eastAsia="仿宋"/>
                <w:sz w:val="2"/>
                <w:szCs w:val="2"/>
                <w:highlight w:val="none"/>
              </w:rPr>
            </w:pPr>
          </w:p>
        </w:tc>
        <w:tc>
          <w:tcPr>
            <w:tcW w:w="1161" w:type="dxa"/>
            <w:vMerge w:val="continue"/>
            <w:tcBorders>
              <w:top w:val="nil"/>
            </w:tcBorders>
            <w:vAlign w:val="center"/>
          </w:tcPr>
          <w:p w14:paraId="03CABCAC">
            <w:pPr>
              <w:spacing w:line="240" w:lineRule="exact"/>
              <w:jc w:val="center"/>
              <w:rPr>
                <w:rFonts w:eastAsia="仿宋"/>
                <w:sz w:val="2"/>
                <w:szCs w:val="2"/>
                <w:highlight w:val="none"/>
              </w:rPr>
            </w:pPr>
          </w:p>
        </w:tc>
        <w:tc>
          <w:tcPr>
            <w:tcW w:w="1383" w:type="dxa"/>
            <w:vAlign w:val="center"/>
          </w:tcPr>
          <w:p w14:paraId="4149E4B7">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510E846E">
            <w:pPr>
              <w:pStyle w:val="39"/>
              <w:spacing w:line="240" w:lineRule="exact"/>
              <w:jc w:val="center"/>
              <w:rPr>
                <w:rFonts w:ascii="Times New Roman" w:hAnsi="Times New Roman" w:eastAsia="仿宋" w:cs="Times New Roman"/>
                <w:highlight w:val="none"/>
              </w:rPr>
            </w:pPr>
          </w:p>
        </w:tc>
        <w:tc>
          <w:tcPr>
            <w:tcW w:w="1172" w:type="dxa"/>
            <w:vAlign w:val="center"/>
          </w:tcPr>
          <w:p w14:paraId="388B1355">
            <w:pPr>
              <w:pStyle w:val="39"/>
              <w:spacing w:line="240" w:lineRule="exact"/>
              <w:jc w:val="center"/>
              <w:rPr>
                <w:rFonts w:ascii="Times New Roman" w:hAnsi="Times New Roman" w:eastAsia="仿宋" w:cs="Times New Roman"/>
                <w:highlight w:val="none"/>
              </w:rPr>
            </w:pPr>
          </w:p>
        </w:tc>
      </w:tr>
      <w:tr w14:paraId="502471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1FFA3B64">
            <w:pPr>
              <w:spacing w:line="240" w:lineRule="exact"/>
              <w:jc w:val="center"/>
              <w:rPr>
                <w:rFonts w:eastAsia="仿宋"/>
                <w:sz w:val="2"/>
                <w:szCs w:val="2"/>
                <w:highlight w:val="none"/>
              </w:rPr>
            </w:pPr>
          </w:p>
        </w:tc>
        <w:tc>
          <w:tcPr>
            <w:tcW w:w="1200" w:type="dxa"/>
            <w:vMerge w:val="continue"/>
            <w:tcBorders>
              <w:top w:val="nil"/>
            </w:tcBorders>
            <w:vAlign w:val="center"/>
          </w:tcPr>
          <w:p w14:paraId="1B26EC4E">
            <w:pPr>
              <w:spacing w:line="240" w:lineRule="exact"/>
              <w:jc w:val="center"/>
              <w:rPr>
                <w:rFonts w:eastAsia="仿宋"/>
                <w:sz w:val="2"/>
                <w:szCs w:val="2"/>
                <w:highlight w:val="none"/>
              </w:rPr>
            </w:pPr>
          </w:p>
        </w:tc>
        <w:tc>
          <w:tcPr>
            <w:tcW w:w="1270" w:type="dxa"/>
            <w:vMerge w:val="restart"/>
            <w:vAlign w:val="center"/>
          </w:tcPr>
          <w:p w14:paraId="2A4DCDB2">
            <w:pPr>
              <w:pStyle w:val="39"/>
              <w:spacing w:line="240" w:lineRule="exact"/>
              <w:jc w:val="center"/>
              <w:rPr>
                <w:rFonts w:ascii="Times New Roman" w:hAnsi="Times New Roman" w:eastAsia="仿宋" w:cs="Times New Roman"/>
                <w:sz w:val="25"/>
                <w:highlight w:val="none"/>
              </w:rPr>
            </w:pPr>
          </w:p>
          <w:p w14:paraId="5DE12518">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重点工作2</w:t>
            </w:r>
          </w:p>
        </w:tc>
        <w:tc>
          <w:tcPr>
            <w:tcW w:w="1161" w:type="dxa"/>
            <w:vMerge w:val="restart"/>
            <w:vAlign w:val="center"/>
          </w:tcPr>
          <w:p w14:paraId="10473426">
            <w:pPr>
              <w:pStyle w:val="39"/>
              <w:spacing w:line="240" w:lineRule="exact"/>
              <w:jc w:val="center"/>
              <w:rPr>
                <w:rFonts w:ascii="Times New Roman" w:hAnsi="Times New Roman" w:eastAsia="仿宋" w:cs="Times New Roman"/>
                <w:highlight w:val="none"/>
              </w:rPr>
            </w:pPr>
          </w:p>
        </w:tc>
        <w:tc>
          <w:tcPr>
            <w:tcW w:w="1383" w:type="dxa"/>
            <w:vAlign w:val="center"/>
          </w:tcPr>
          <w:p w14:paraId="686ABE55">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43E75577">
            <w:pPr>
              <w:pStyle w:val="39"/>
              <w:spacing w:line="240" w:lineRule="exact"/>
              <w:jc w:val="center"/>
              <w:rPr>
                <w:rFonts w:ascii="Times New Roman" w:hAnsi="Times New Roman" w:eastAsia="仿宋" w:cs="Times New Roman"/>
                <w:highlight w:val="none"/>
              </w:rPr>
            </w:pPr>
          </w:p>
        </w:tc>
        <w:tc>
          <w:tcPr>
            <w:tcW w:w="1172" w:type="dxa"/>
            <w:vAlign w:val="center"/>
          </w:tcPr>
          <w:p w14:paraId="7486355D">
            <w:pPr>
              <w:pStyle w:val="39"/>
              <w:spacing w:line="240" w:lineRule="exact"/>
              <w:jc w:val="center"/>
              <w:rPr>
                <w:rFonts w:ascii="Times New Roman" w:hAnsi="Times New Roman" w:eastAsia="仿宋" w:cs="Times New Roman"/>
                <w:highlight w:val="none"/>
              </w:rPr>
            </w:pPr>
          </w:p>
        </w:tc>
      </w:tr>
      <w:tr w14:paraId="02547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5D7BC737">
            <w:pPr>
              <w:spacing w:line="240" w:lineRule="exact"/>
              <w:jc w:val="center"/>
              <w:rPr>
                <w:rFonts w:eastAsia="仿宋"/>
                <w:sz w:val="2"/>
                <w:szCs w:val="2"/>
                <w:highlight w:val="none"/>
              </w:rPr>
            </w:pPr>
          </w:p>
        </w:tc>
        <w:tc>
          <w:tcPr>
            <w:tcW w:w="1200" w:type="dxa"/>
            <w:vMerge w:val="continue"/>
            <w:tcBorders>
              <w:top w:val="nil"/>
            </w:tcBorders>
            <w:vAlign w:val="center"/>
          </w:tcPr>
          <w:p w14:paraId="1F4EE65B">
            <w:pPr>
              <w:spacing w:line="240" w:lineRule="exact"/>
              <w:jc w:val="center"/>
              <w:rPr>
                <w:rFonts w:eastAsia="仿宋"/>
                <w:sz w:val="2"/>
                <w:szCs w:val="2"/>
                <w:highlight w:val="none"/>
              </w:rPr>
            </w:pPr>
          </w:p>
        </w:tc>
        <w:tc>
          <w:tcPr>
            <w:tcW w:w="1270" w:type="dxa"/>
            <w:vMerge w:val="continue"/>
            <w:tcBorders>
              <w:top w:val="nil"/>
            </w:tcBorders>
            <w:vAlign w:val="center"/>
          </w:tcPr>
          <w:p w14:paraId="115C47B5">
            <w:pPr>
              <w:spacing w:line="240" w:lineRule="exact"/>
              <w:jc w:val="center"/>
              <w:rPr>
                <w:rFonts w:eastAsia="仿宋"/>
                <w:sz w:val="2"/>
                <w:szCs w:val="2"/>
                <w:highlight w:val="none"/>
              </w:rPr>
            </w:pPr>
          </w:p>
        </w:tc>
        <w:tc>
          <w:tcPr>
            <w:tcW w:w="1161" w:type="dxa"/>
            <w:vMerge w:val="continue"/>
            <w:tcBorders>
              <w:top w:val="nil"/>
            </w:tcBorders>
            <w:vAlign w:val="center"/>
          </w:tcPr>
          <w:p w14:paraId="3BAA89EF">
            <w:pPr>
              <w:spacing w:line="240" w:lineRule="exact"/>
              <w:jc w:val="center"/>
              <w:rPr>
                <w:rFonts w:eastAsia="仿宋"/>
                <w:sz w:val="2"/>
                <w:szCs w:val="2"/>
                <w:highlight w:val="none"/>
              </w:rPr>
            </w:pPr>
          </w:p>
        </w:tc>
        <w:tc>
          <w:tcPr>
            <w:tcW w:w="1383" w:type="dxa"/>
            <w:vAlign w:val="center"/>
          </w:tcPr>
          <w:p w14:paraId="0C6678C0">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12837224">
            <w:pPr>
              <w:pStyle w:val="39"/>
              <w:spacing w:line="240" w:lineRule="exact"/>
              <w:jc w:val="center"/>
              <w:rPr>
                <w:rFonts w:ascii="Times New Roman" w:hAnsi="Times New Roman" w:eastAsia="仿宋" w:cs="Times New Roman"/>
                <w:highlight w:val="none"/>
              </w:rPr>
            </w:pPr>
          </w:p>
        </w:tc>
        <w:tc>
          <w:tcPr>
            <w:tcW w:w="1172" w:type="dxa"/>
            <w:vAlign w:val="center"/>
          </w:tcPr>
          <w:p w14:paraId="5D0B3E49">
            <w:pPr>
              <w:pStyle w:val="39"/>
              <w:spacing w:line="240" w:lineRule="exact"/>
              <w:jc w:val="center"/>
              <w:rPr>
                <w:rFonts w:ascii="Times New Roman" w:hAnsi="Times New Roman" w:eastAsia="仿宋" w:cs="Times New Roman"/>
                <w:highlight w:val="none"/>
              </w:rPr>
            </w:pPr>
          </w:p>
        </w:tc>
      </w:tr>
      <w:tr w14:paraId="23E93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34BDC609">
            <w:pPr>
              <w:spacing w:line="240" w:lineRule="exact"/>
              <w:jc w:val="center"/>
              <w:rPr>
                <w:rFonts w:eastAsia="仿宋"/>
                <w:sz w:val="2"/>
                <w:szCs w:val="2"/>
                <w:highlight w:val="none"/>
              </w:rPr>
            </w:pPr>
          </w:p>
        </w:tc>
        <w:tc>
          <w:tcPr>
            <w:tcW w:w="1200" w:type="dxa"/>
            <w:vMerge w:val="continue"/>
            <w:tcBorders>
              <w:top w:val="nil"/>
            </w:tcBorders>
            <w:vAlign w:val="center"/>
          </w:tcPr>
          <w:p w14:paraId="38668ECC">
            <w:pPr>
              <w:spacing w:line="240" w:lineRule="exact"/>
              <w:jc w:val="center"/>
              <w:rPr>
                <w:rFonts w:eastAsia="仿宋"/>
                <w:sz w:val="2"/>
                <w:szCs w:val="2"/>
                <w:highlight w:val="none"/>
              </w:rPr>
            </w:pPr>
          </w:p>
        </w:tc>
        <w:tc>
          <w:tcPr>
            <w:tcW w:w="1270" w:type="dxa"/>
            <w:vAlign w:val="center"/>
          </w:tcPr>
          <w:p w14:paraId="49CC2E55">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61" w:type="dxa"/>
            <w:vAlign w:val="center"/>
          </w:tcPr>
          <w:p w14:paraId="651757A2">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383" w:type="dxa"/>
            <w:vAlign w:val="center"/>
          </w:tcPr>
          <w:p w14:paraId="66FEF2B7">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777401AE">
            <w:pPr>
              <w:pStyle w:val="39"/>
              <w:spacing w:line="240" w:lineRule="exact"/>
              <w:jc w:val="center"/>
              <w:rPr>
                <w:rFonts w:ascii="Times New Roman" w:hAnsi="Times New Roman" w:eastAsia="仿宋" w:cs="Times New Roman"/>
                <w:highlight w:val="none"/>
              </w:rPr>
            </w:pPr>
          </w:p>
        </w:tc>
        <w:tc>
          <w:tcPr>
            <w:tcW w:w="1172" w:type="dxa"/>
            <w:vAlign w:val="center"/>
          </w:tcPr>
          <w:p w14:paraId="2F885F2D">
            <w:pPr>
              <w:pStyle w:val="39"/>
              <w:spacing w:line="240" w:lineRule="exact"/>
              <w:jc w:val="center"/>
              <w:rPr>
                <w:rFonts w:ascii="Times New Roman" w:hAnsi="Times New Roman" w:eastAsia="仿宋" w:cs="Times New Roman"/>
                <w:highlight w:val="none"/>
              </w:rPr>
            </w:pPr>
          </w:p>
        </w:tc>
      </w:tr>
      <w:tr w14:paraId="79A29E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45F0FBD3">
            <w:pPr>
              <w:spacing w:line="240" w:lineRule="exact"/>
              <w:jc w:val="center"/>
              <w:rPr>
                <w:rFonts w:eastAsia="仿宋"/>
                <w:sz w:val="2"/>
                <w:szCs w:val="2"/>
                <w:highlight w:val="none"/>
              </w:rPr>
            </w:pPr>
          </w:p>
        </w:tc>
        <w:tc>
          <w:tcPr>
            <w:tcW w:w="1200" w:type="dxa"/>
            <w:vMerge w:val="restart"/>
            <w:vAlign w:val="center"/>
          </w:tcPr>
          <w:p w14:paraId="5E7204B4">
            <w:pPr>
              <w:pStyle w:val="39"/>
              <w:spacing w:line="240" w:lineRule="exact"/>
              <w:jc w:val="center"/>
              <w:rPr>
                <w:rFonts w:ascii="Times New Roman" w:hAnsi="Times New Roman" w:eastAsia="仿宋" w:cs="Times New Roman"/>
                <w:highlight w:val="none"/>
              </w:rPr>
            </w:pPr>
          </w:p>
          <w:p w14:paraId="5E3665EC">
            <w:pPr>
              <w:pStyle w:val="39"/>
              <w:spacing w:line="240" w:lineRule="exact"/>
              <w:jc w:val="center"/>
              <w:rPr>
                <w:rFonts w:ascii="Times New Roman" w:hAnsi="Times New Roman" w:eastAsia="仿宋" w:cs="Times New Roman"/>
                <w:highlight w:val="none"/>
              </w:rPr>
            </w:pPr>
          </w:p>
          <w:p w14:paraId="57A90A03">
            <w:pPr>
              <w:pStyle w:val="39"/>
              <w:spacing w:line="240" w:lineRule="exact"/>
              <w:jc w:val="center"/>
              <w:rPr>
                <w:rFonts w:ascii="Times New Roman" w:hAnsi="Times New Roman" w:eastAsia="仿宋" w:cs="Times New Roman"/>
                <w:highlight w:val="none"/>
              </w:rPr>
            </w:pPr>
          </w:p>
          <w:p w14:paraId="7FFA96C0">
            <w:pPr>
              <w:pStyle w:val="39"/>
              <w:spacing w:line="240" w:lineRule="exact"/>
              <w:jc w:val="center"/>
              <w:rPr>
                <w:rFonts w:ascii="Times New Roman" w:hAnsi="Times New Roman" w:eastAsia="仿宋" w:cs="Times New Roman"/>
                <w:sz w:val="18"/>
                <w:highlight w:val="none"/>
              </w:rPr>
            </w:pPr>
          </w:p>
          <w:p w14:paraId="464C360E">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职能2</w:t>
            </w:r>
          </w:p>
        </w:tc>
        <w:tc>
          <w:tcPr>
            <w:tcW w:w="1270" w:type="dxa"/>
            <w:vMerge w:val="restart"/>
            <w:vAlign w:val="center"/>
          </w:tcPr>
          <w:p w14:paraId="11E9A6F3">
            <w:pPr>
              <w:pStyle w:val="39"/>
              <w:spacing w:line="240" w:lineRule="exact"/>
              <w:jc w:val="center"/>
              <w:rPr>
                <w:rFonts w:ascii="Times New Roman" w:hAnsi="Times New Roman" w:eastAsia="仿宋" w:cs="Times New Roman"/>
                <w:sz w:val="25"/>
                <w:highlight w:val="none"/>
              </w:rPr>
            </w:pPr>
          </w:p>
          <w:p w14:paraId="60C58CC4">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重点工作1</w:t>
            </w:r>
          </w:p>
        </w:tc>
        <w:tc>
          <w:tcPr>
            <w:tcW w:w="1161" w:type="dxa"/>
            <w:vMerge w:val="restart"/>
            <w:vAlign w:val="center"/>
          </w:tcPr>
          <w:p w14:paraId="28684ED8">
            <w:pPr>
              <w:pStyle w:val="39"/>
              <w:spacing w:line="240" w:lineRule="exact"/>
              <w:jc w:val="center"/>
              <w:rPr>
                <w:rFonts w:ascii="Times New Roman" w:hAnsi="Times New Roman" w:eastAsia="仿宋" w:cs="Times New Roman"/>
                <w:highlight w:val="none"/>
              </w:rPr>
            </w:pPr>
          </w:p>
        </w:tc>
        <w:tc>
          <w:tcPr>
            <w:tcW w:w="1383" w:type="dxa"/>
            <w:vAlign w:val="center"/>
          </w:tcPr>
          <w:p w14:paraId="36FE1401">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7923B239">
            <w:pPr>
              <w:pStyle w:val="39"/>
              <w:spacing w:line="240" w:lineRule="exact"/>
              <w:jc w:val="center"/>
              <w:rPr>
                <w:rFonts w:ascii="Times New Roman" w:hAnsi="Times New Roman" w:eastAsia="仿宋" w:cs="Times New Roman"/>
                <w:highlight w:val="none"/>
              </w:rPr>
            </w:pPr>
          </w:p>
        </w:tc>
        <w:tc>
          <w:tcPr>
            <w:tcW w:w="1172" w:type="dxa"/>
            <w:vAlign w:val="center"/>
          </w:tcPr>
          <w:p w14:paraId="09E4103A">
            <w:pPr>
              <w:pStyle w:val="39"/>
              <w:spacing w:line="240" w:lineRule="exact"/>
              <w:jc w:val="center"/>
              <w:rPr>
                <w:rFonts w:ascii="Times New Roman" w:hAnsi="Times New Roman" w:eastAsia="仿宋" w:cs="Times New Roman"/>
                <w:highlight w:val="none"/>
              </w:rPr>
            </w:pPr>
          </w:p>
        </w:tc>
      </w:tr>
      <w:tr w14:paraId="128B4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3AC4B552">
            <w:pPr>
              <w:spacing w:line="240" w:lineRule="exact"/>
              <w:jc w:val="center"/>
              <w:rPr>
                <w:rFonts w:eastAsia="仿宋"/>
                <w:sz w:val="2"/>
                <w:szCs w:val="2"/>
                <w:highlight w:val="none"/>
              </w:rPr>
            </w:pPr>
          </w:p>
        </w:tc>
        <w:tc>
          <w:tcPr>
            <w:tcW w:w="1200" w:type="dxa"/>
            <w:vMerge w:val="continue"/>
            <w:tcBorders>
              <w:top w:val="nil"/>
            </w:tcBorders>
            <w:vAlign w:val="center"/>
          </w:tcPr>
          <w:p w14:paraId="10AB16EF">
            <w:pPr>
              <w:spacing w:line="240" w:lineRule="exact"/>
              <w:jc w:val="center"/>
              <w:rPr>
                <w:rFonts w:eastAsia="仿宋"/>
                <w:sz w:val="2"/>
                <w:szCs w:val="2"/>
                <w:highlight w:val="none"/>
              </w:rPr>
            </w:pPr>
          </w:p>
        </w:tc>
        <w:tc>
          <w:tcPr>
            <w:tcW w:w="1270" w:type="dxa"/>
            <w:vMerge w:val="continue"/>
            <w:tcBorders>
              <w:top w:val="nil"/>
            </w:tcBorders>
            <w:vAlign w:val="center"/>
          </w:tcPr>
          <w:p w14:paraId="33E8F8EF">
            <w:pPr>
              <w:spacing w:line="240" w:lineRule="exact"/>
              <w:jc w:val="center"/>
              <w:rPr>
                <w:rFonts w:eastAsia="仿宋"/>
                <w:sz w:val="2"/>
                <w:szCs w:val="2"/>
                <w:highlight w:val="none"/>
              </w:rPr>
            </w:pPr>
          </w:p>
        </w:tc>
        <w:tc>
          <w:tcPr>
            <w:tcW w:w="1161" w:type="dxa"/>
            <w:vMerge w:val="continue"/>
            <w:tcBorders>
              <w:top w:val="nil"/>
            </w:tcBorders>
            <w:vAlign w:val="center"/>
          </w:tcPr>
          <w:p w14:paraId="40388E48">
            <w:pPr>
              <w:spacing w:line="240" w:lineRule="exact"/>
              <w:jc w:val="center"/>
              <w:rPr>
                <w:rFonts w:eastAsia="仿宋"/>
                <w:sz w:val="2"/>
                <w:szCs w:val="2"/>
                <w:highlight w:val="none"/>
              </w:rPr>
            </w:pPr>
          </w:p>
        </w:tc>
        <w:tc>
          <w:tcPr>
            <w:tcW w:w="1383" w:type="dxa"/>
            <w:vAlign w:val="center"/>
          </w:tcPr>
          <w:p w14:paraId="4AF21F45">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169C12FA">
            <w:pPr>
              <w:pStyle w:val="39"/>
              <w:spacing w:line="240" w:lineRule="exact"/>
              <w:jc w:val="center"/>
              <w:rPr>
                <w:rFonts w:ascii="Times New Roman" w:hAnsi="Times New Roman" w:eastAsia="仿宋" w:cs="Times New Roman"/>
                <w:highlight w:val="none"/>
              </w:rPr>
            </w:pPr>
          </w:p>
        </w:tc>
        <w:tc>
          <w:tcPr>
            <w:tcW w:w="1172" w:type="dxa"/>
            <w:vAlign w:val="center"/>
          </w:tcPr>
          <w:p w14:paraId="68D4A6C9">
            <w:pPr>
              <w:pStyle w:val="39"/>
              <w:spacing w:line="240" w:lineRule="exact"/>
              <w:jc w:val="center"/>
              <w:rPr>
                <w:rFonts w:ascii="Times New Roman" w:hAnsi="Times New Roman" w:eastAsia="仿宋" w:cs="Times New Roman"/>
                <w:highlight w:val="none"/>
              </w:rPr>
            </w:pPr>
          </w:p>
        </w:tc>
      </w:tr>
      <w:tr w14:paraId="3D098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2334876E">
            <w:pPr>
              <w:spacing w:line="240" w:lineRule="exact"/>
              <w:jc w:val="center"/>
              <w:rPr>
                <w:rFonts w:eastAsia="仿宋"/>
                <w:sz w:val="2"/>
                <w:szCs w:val="2"/>
                <w:highlight w:val="none"/>
              </w:rPr>
            </w:pPr>
          </w:p>
        </w:tc>
        <w:tc>
          <w:tcPr>
            <w:tcW w:w="1200" w:type="dxa"/>
            <w:vMerge w:val="continue"/>
            <w:tcBorders>
              <w:top w:val="nil"/>
            </w:tcBorders>
            <w:vAlign w:val="center"/>
          </w:tcPr>
          <w:p w14:paraId="7830468D">
            <w:pPr>
              <w:spacing w:line="240" w:lineRule="exact"/>
              <w:jc w:val="center"/>
              <w:rPr>
                <w:rFonts w:eastAsia="仿宋"/>
                <w:sz w:val="2"/>
                <w:szCs w:val="2"/>
                <w:highlight w:val="none"/>
              </w:rPr>
            </w:pPr>
          </w:p>
        </w:tc>
        <w:tc>
          <w:tcPr>
            <w:tcW w:w="1270" w:type="dxa"/>
            <w:vMerge w:val="restart"/>
            <w:vAlign w:val="center"/>
          </w:tcPr>
          <w:p w14:paraId="739F4548">
            <w:pPr>
              <w:pStyle w:val="39"/>
              <w:spacing w:line="240" w:lineRule="exact"/>
              <w:jc w:val="center"/>
              <w:rPr>
                <w:rFonts w:ascii="Times New Roman" w:hAnsi="Times New Roman" w:eastAsia="仿宋" w:cs="Times New Roman"/>
                <w:sz w:val="25"/>
                <w:highlight w:val="none"/>
              </w:rPr>
            </w:pPr>
          </w:p>
          <w:p w14:paraId="0A7CCCEF">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重点工作2</w:t>
            </w:r>
          </w:p>
        </w:tc>
        <w:tc>
          <w:tcPr>
            <w:tcW w:w="1161" w:type="dxa"/>
            <w:vMerge w:val="restart"/>
            <w:vAlign w:val="center"/>
          </w:tcPr>
          <w:p w14:paraId="05B5CF52">
            <w:pPr>
              <w:pStyle w:val="39"/>
              <w:spacing w:line="240" w:lineRule="exact"/>
              <w:jc w:val="center"/>
              <w:rPr>
                <w:rFonts w:ascii="Times New Roman" w:hAnsi="Times New Roman" w:eastAsia="仿宋" w:cs="Times New Roman"/>
                <w:highlight w:val="none"/>
              </w:rPr>
            </w:pPr>
          </w:p>
        </w:tc>
        <w:tc>
          <w:tcPr>
            <w:tcW w:w="1383" w:type="dxa"/>
            <w:vAlign w:val="center"/>
          </w:tcPr>
          <w:p w14:paraId="020F9BF0">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7F2804C2">
            <w:pPr>
              <w:pStyle w:val="39"/>
              <w:spacing w:line="240" w:lineRule="exact"/>
              <w:jc w:val="center"/>
              <w:rPr>
                <w:rFonts w:ascii="Times New Roman" w:hAnsi="Times New Roman" w:eastAsia="仿宋" w:cs="Times New Roman"/>
                <w:highlight w:val="none"/>
              </w:rPr>
            </w:pPr>
          </w:p>
        </w:tc>
        <w:tc>
          <w:tcPr>
            <w:tcW w:w="1172" w:type="dxa"/>
            <w:vAlign w:val="center"/>
          </w:tcPr>
          <w:p w14:paraId="490DDE93">
            <w:pPr>
              <w:pStyle w:val="39"/>
              <w:spacing w:line="240" w:lineRule="exact"/>
              <w:jc w:val="center"/>
              <w:rPr>
                <w:rFonts w:ascii="Times New Roman" w:hAnsi="Times New Roman" w:eastAsia="仿宋" w:cs="Times New Roman"/>
                <w:highlight w:val="none"/>
              </w:rPr>
            </w:pPr>
          </w:p>
        </w:tc>
      </w:tr>
      <w:tr w14:paraId="57E1E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03915071">
            <w:pPr>
              <w:spacing w:line="240" w:lineRule="exact"/>
              <w:jc w:val="center"/>
              <w:rPr>
                <w:rFonts w:eastAsia="仿宋"/>
                <w:sz w:val="2"/>
                <w:szCs w:val="2"/>
                <w:highlight w:val="none"/>
              </w:rPr>
            </w:pPr>
          </w:p>
        </w:tc>
        <w:tc>
          <w:tcPr>
            <w:tcW w:w="1200" w:type="dxa"/>
            <w:vMerge w:val="continue"/>
            <w:tcBorders>
              <w:top w:val="nil"/>
            </w:tcBorders>
            <w:vAlign w:val="center"/>
          </w:tcPr>
          <w:p w14:paraId="2DA22921">
            <w:pPr>
              <w:spacing w:line="240" w:lineRule="exact"/>
              <w:jc w:val="center"/>
              <w:rPr>
                <w:rFonts w:eastAsia="仿宋"/>
                <w:sz w:val="2"/>
                <w:szCs w:val="2"/>
                <w:highlight w:val="none"/>
              </w:rPr>
            </w:pPr>
          </w:p>
        </w:tc>
        <w:tc>
          <w:tcPr>
            <w:tcW w:w="1270" w:type="dxa"/>
            <w:vMerge w:val="continue"/>
            <w:tcBorders>
              <w:top w:val="nil"/>
            </w:tcBorders>
            <w:vAlign w:val="center"/>
          </w:tcPr>
          <w:p w14:paraId="56017857">
            <w:pPr>
              <w:spacing w:line="240" w:lineRule="exact"/>
              <w:jc w:val="center"/>
              <w:rPr>
                <w:rFonts w:eastAsia="仿宋"/>
                <w:sz w:val="2"/>
                <w:szCs w:val="2"/>
                <w:highlight w:val="none"/>
              </w:rPr>
            </w:pPr>
          </w:p>
        </w:tc>
        <w:tc>
          <w:tcPr>
            <w:tcW w:w="1161" w:type="dxa"/>
            <w:vMerge w:val="continue"/>
            <w:tcBorders>
              <w:top w:val="nil"/>
            </w:tcBorders>
            <w:vAlign w:val="center"/>
          </w:tcPr>
          <w:p w14:paraId="51F2E657">
            <w:pPr>
              <w:spacing w:line="240" w:lineRule="exact"/>
              <w:jc w:val="center"/>
              <w:rPr>
                <w:rFonts w:eastAsia="仿宋"/>
                <w:sz w:val="2"/>
                <w:szCs w:val="2"/>
                <w:highlight w:val="none"/>
              </w:rPr>
            </w:pPr>
          </w:p>
        </w:tc>
        <w:tc>
          <w:tcPr>
            <w:tcW w:w="1383" w:type="dxa"/>
            <w:vAlign w:val="center"/>
          </w:tcPr>
          <w:p w14:paraId="1F01C8B8">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3268A59B">
            <w:pPr>
              <w:pStyle w:val="39"/>
              <w:spacing w:line="240" w:lineRule="exact"/>
              <w:jc w:val="center"/>
              <w:rPr>
                <w:rFonts w:ascii="Times New Roman" w:hAnsi="Times New Roman" w:eastAsia="仿宋" w:cs="Times New Roman"/>
                <w:highlight w:val="none"/>
              </w:rPr>
            </w:pPr>
          </w:p>
        </w:tc>
        <w:tc>
          <w:tcPr>
            <w:tcW w:w="1172" w:type="dxa"/>
            <w:vAlign w:val="center"/>
          </w:tcPr>
          <w:p w14:paraId="62642F50">
            <w:pPr>
              <w:pStyle w:val="39"/>
              <w:spacing w:line="240" w:lineRule="exact"/>
              <w:jc w:val="center"/>
              <w:rPr>
                <w:rFonts w:ascii="Times New Roman" w:hAnsi="Times New Roman" w:eastAsia="仿宋" w:cs="Times New Roman"/>
                <w:highlight w:val="none"/>
              </w:rPr>
            </w:pPr>
          </w:p>
        </w:tc>
      </w:tr>
      <w:tr w14:paraId="4E7F6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1729842E">
            <w:pPr>
              <w:spacing w:line="240" w:lineRule="exact"/>
              <w:jc w:val="center"/>
              <w:rPr>
                <w:rFonts w:eastAsia="仿宋"/>
                <w:sz w:val="2"/>
                <w:szCs w:val="2"/>
                <w:highlight w:val="none"/>
              </w:rPr>
            </w:pPr>
          </w:p>
        </w:tc>
        <w:tc>
          <w:tcPr>
            <w:tcW w:w="1200" w:type="dxa"/>
            <w:vMerge w:val="continue"/>
            <w:tcBorders>
              <w:top w:val="nil"/>
            </w:tcBorders>
            <w:vAlign w:val="center"/>
          </w:tcPr>
          <w:p w14:paraId="0A25CD4B">
            <w:pPr>
              <w:spacing w:line="240" w:lineRule="exact"/>
              <w:jc w:val="center"/>
              <w:rPr>
                <w:rFonts w:eastAsia="仿宋"/>
                <w:sz w:val="2"/>
                <w:szCs w:val="2"/>
                <w:highlight w:val="none"/>
              </w:rPr>
            </w:pPr>
          </w:p>
        </w:tc>
        <w:tc>
          <w:tcPr>
            <w:tcW w:w="1270" w:type="dxa"/>
            <w:vAlign w:val="center"/>
          </w:tcPr>
          <w:p w14:paraId="724DB125">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61" w:type="dxa"/>
            <w:vAlign w:val="center"/>
          </w:tcPr>
          <w:p w14:paraId="0C89A4E3">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383" w:type="dxa"/>
            <w:vAlign w:val="center"/>
          </w:tcPr>
          <w:p w14:paraId="268163A7">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22705F63">
            <w:pPr>
              <w:pStyle w:val="39"/>
              <w:spacing w:line="240" w:lineRule="exact"/>
              <w:jc w:val="center"/>
              <w:rPr>
                <w:rFonts w:ascii="Times New Roman" w:hAnsi="Times New Roman" w:eastAsia="仿宋" w:cs="Times New Roman"/>
                <w:highlight w:val="none"/>
              </w:rPr>
            </w:pPr>
          </w:p>
        </w:tc>
        <w:tc>
          <w:tcPr>
            <w:tcW w:w="1172" w:type="dxa"/>
            <w:vAlign w:val="center"/>
          </w:tcPr>
          <w:p w14:paraId="0265F6ED">
            <w:pPr>
              <w:pStyle w:val="39"/>
              <w:spacing w:line="240" w:lineRule="exact"/>
              <w:jc w:val="center"/>
              <w:rPr>
                <w:rFonts w:ascii="Times New Roman" w:hAnsi="Times New Roman" w:eastAsia="仿宋" w:cs="Times New Roman"/>
                <w:highlight w:val="none"/>
              </w:rPr>
            </w:pPr>
          </w:p>
        </w:tc>
      </w:tr>
      <w:tr w14:paraId="4C6F5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0484946E">
            <w:pPr>
              <w:spacing w:line="240" w:lineRule="exact"/>
              <w:jc w:val="center"/>
              <w:rPr>
                <w:rFonts w:eastAsia="仿宋"/>
                <w:sz w:val="2"/>
                <w:szCs w:val="2"/>
                <w:highlight w:val="none"/>
              </w:rPr>
            </w:pPr>
          </w:p>
        </w:tc>
        <w:tc>
          <w:tcPr>
            <w:tcW w:w="1200" w:type="dxa"/>
            <w:vAlign w:val="center"/>
          </w:tcPr>
          <w:p w14:paraId="4604D237">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270" w:type="dxa"/>
            <w:vAlign w:val="center"/>
          </w:tcPr>
          <w:p w14:paraId="7AC62687">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61" w:type="dxa"/>
            <w:vAlign w:val="center"/>
          </w:tcPr>
          <w:p w14:paraId="283081DC">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383" w:type="dxa"/>
            <w:vAlign w:val="center"/>
          </w:tcPr>
          <w:p w14:paraId="47C45EA8">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1D46C55D">
            <w:pPr>
              <w:pStyle w:val="39"/>
              <w:spacing w:line="240" w:lineRule="exact"/>
              <w:jc w:val="center"/>
              <w:rPr>
                <w:rFonts w:ascii="Times New Roman" w:hAnsi="Times New Roman" w:eastAsia="仿宋" w:cs="Times New Roman"/>
                <w:highlight w:val="none"/>
              </w:rPr>
            </w:pPr>
          </w:p>
        </w:tc>
        <w:tc>
          <w:tcPr>
            <w:tcW w:w="1172" w:type="dxa"/>
            <w:vAlign w:val="center"/>
          </w:tcPr>
          <w:p w14:paraId="7910CB6D">
            <w:pPr>
              <w:pStyle w:val="39"/>
              <w:spacing w:line="240" w:lineRule="exact"/>
              <w:jc w:val="center"/>
              <w:rPr>
                <w:rFonts w:ascii="Times New Roman" w:hAnsi="Times New Roman" w:eastAsia="仿宋" w:cs="Times New Roman"/>
                <w:highlight w:val="none"/>
              </w:rPr>
            </w:pPr>
          </w:p>
        </w:tc>
      </w:tr>
      <w:tr w14:paraId="52566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Align w:val="center"/>
          </w:tcPr>
          <w:p w14:paraId="0EF6AA9C">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一级指标</w:t>
            </w:r>
          </w:p>
        </w:tc>
        <w:tc>
          <w:tcPr>
            <w:tcW w:w="3631" w:type="dxa"/>
            <w:gridSpan w:val="3"/>
            <w:vAlign w:val="center"/>
          </w:tcPr>
          <w:p w14:paraId="0A4E06B7">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二级指标</w:t>
            </w:r>
          </w:p>
        </w:tc>
        <w:tc>
          <w:tcPr>
            <w:tcW w:w="1383" w:type="dxa"/>
            <w:vAlign w:val="center"/>
          </w:tcPr>
          <w:p w14:paraId="56494668">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三级指标</w:t>
            </w:r>
          </w:p>
        </w:tc>
        <w:tc>
          <w:tcPr>
            <w:tcW w:w="1189" w:type="dxa"/>
            <w:vAlign w:val="center"/>
          </w:tcPr>
          <w:p w14:paraId="5D52D165">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半年指标值</w:t>
            </w:r>
          </w:p>
        </w:tc>
        <w:tc>
          <w:tcPr>
            <w:tcW w:w="1172" w:type="dxa"/>
            <w:vAlign w:val="center"/>
          </w:tcPr>
          <w:p w14:paraId="7BDA42E7">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全年指标值</w:t>
            </w:r>
          </w:p>
        </w:tc>
      </w:tr>
      <w:tr w14:paraId="72E9B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restart"/>
            <w:vAlign w:val="center"/>
          </w:tcPr>
          <w:p w14:paraId="4C15E6A0">
            <w:pPr>
              <w:pStyle w:val="39"/>
              <w:spacing w:line="240" w:lineRule="exact"/>
              <w:jc w:val="center"/>
              <w:rPr>
                <w:rFonts w:ascii="Times New Roman" w:hAnsi="Times New Roman" w:eastAsia="仿宋" w:cs="Times New Roman"/>
                <w:highlight w:val="none"/>
              </w:rPr>
            </w:pPr>
          </w:p>
          <w:p w14:paraId="1AF62AF3">
            <w:pPr>
              <w:pStyle w:val="39"/>
              <w:spacing w:line="240" w:lineRule="exact"/>
              <w:jc w:val="center"/>
              <w:rPr>
                <w:rFonts w:ascii="Times New Roman" w:hAnsi="Times New Roman" w:eastAsia="仿宋" w:cs="Times New Roman"/>
                <w:highlight w:val="none"/>
              </w:rPr>
            </w:pPr>
          </w:p>
          <w:p w14:paraId="1756DD5F">
            <w:pPr>
              <w:pStyle w:val="39"/>
              <w:spacing w:line="240" w:lineRule="exact"/>
              <w:jc w:val="center"/>
              <w:rPr>
                <w:rFonts w:ascii="Times New Roman" w:hAnsi="Times New Roman" w:eastAsia="仿宋" w:cs="Times New Roman"/>
                <w:highlight w:val="none"/>
              </w:rPr>
            </w:pPr>
          </w:p>
          <w:p w14:paraId="2B248239">
            <w:pPr>
              <w:pStyle w:val="39"/>
              <w:spacing w:line="240" w:lineRule="exact"/>
              <w:jc w:val="center"/>
              <w:rPr>
                <w:rFonts w:ascii="Times New Roman" w:hAnsi="Times New Roman" w:eastAsia="仿宋" w:cs="Times New Roman"/>
                <w:highlight w:val="none"/>
              </w:rPr>
            </w:pPr>
          </w:p>
          <w:p w14:paraId="02918B64">
            <w:pPr>
              <w:pStyle w:val="39"/>
              <w:spacing w:line="240" w:lineRule="exact"/>
              <w:jc w:val="center"/>
              <w:rPr>
                <w:rFonts w:ascii="Times New Roman" w:hAnsi="Times New Roman" w:eastAsia="仿宋" w:cs="Times New Roman"/>
                <w:highlight w:val="none"/>
              </w:rPr>
            </w:pPr>
          </w:p>
          <w:p w14:paraId="1C23A6EC">
            <w:pPr>
              <w:pStyle w:val="39"/>
              <w:spacing w:line="240" w:lineRule="exact"/>
              <w:jc w:val="center"/>
              <w:rPr>
                <w:rFonts w:ascii="Times New Roman" w:hAnsi="Times New Roman" w:eastAsia="仿宋" w:cs="Times New Roman"/>
                <w:highlight w:val="none"/>
              </w:rPr>
            </w:pPr>
          </w:p>
          <w:p w14:paraId="523A72AA">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效益</w:t>
            </w:r>
          </w:p>
        </w:tc>
        <w:tc>
          <w:tcPr>
            <w:tcW w:w="3631" w:type="dxa"/>
            <w:gridSpan w:val="3"/>
            <w:vMerge w:val="restart"/>
            <w:vAlign w:val="center"/>
          </w:tcPr>
          <w:p w14:paraId="76C34388">
            <w:pPr>
              <w:pStyle w:val="39"/>
              <w:spacing w:line="240" w:lineRule="exact"/>
              <w:jc w:val="center"/>
              <w:rPr>
                <w:rFonts w:ascii="Times New Roman" w:hAnsi="Times New Roman" w:eastAsia="仿宋" w:cs="Times New Roman"/>
                <w:sz w:val="25"/>
                <w:highlight w:val="none"/>
              </w:rPr>
            </w:pPr>
          </w:p>
          <w:p w14:paraId="1F6F5210">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社会效益</w:t>
            </w:r>
          </w:p>
        </w:tc>
        <w:tc>
          <w:tcPr>
            <w:tcW w:w="1383" w:type="dxa"/>
            <w:vAlign w:val="center"/>
          </w:tcPr>
          <w:p w14:paraId="34BE09AE">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35FB0CAC">
            <w:pPr>
              <w:pStyle w:val="39"/>
              <w:spacing w:line="240" w:lineRule="exact"/>
              <w:jc w:val="center"/>
              <w:rPr>
                <w:rFonts w:ascii="Times New Roman" w:hAnsi="Times New Roman" w:eastAsia="仿宋" w:cs="Times New Roman"/>
                <w:highlight w:val="none"/>
              </w:rPr>
            </w:pPr>
          </w:p>
        </w:tc>
        <w:tc>
          <w:tcPr>
            <w:tcW w:w="1172" w:type="dxa"/>
            <w:vAlign w:val="center"/>
          </w:tcPr>
          <w:p w14:paraId="73B9C83A">
            <w:pPr>
              <w:pStyle w:val="39"/>
              <w:spacing w:line="240" w:lineRule="exact"/>
              <w:jc w:val="center"/>
              <w:rPr>
                <w:rFonts w:ascii="Times New Roman" w:hAnsi="Times New Roman" w:eastAsia="仿宋" w:cs="Times New Roman"/>
                <w:highlight w:val="none"/>
              </w:rPr>
            </w:pPr>
          </w:p>
        </w:tc>
      </w:tr>
      <w:tr w14:paraId="24CB2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61AF80FC">
            <w:pPr>
              <w:spacing w:line="240" w:lineRule="exact"/>
              <w:jc w:val="center"/>
              <w:rPr>
                <w:rFonts w:eastAsia="仿宋"/>
                <w:sz w:val="2"/>
                <w:szCs w:val="2"/>
                <w:highlight w:val="none"/>
              </w:rPr>
            </w:pPr>
          </w:p>
        </w:tc>
        <w:tc>
          <w:tcPr>
            <w:tcW w:w="3631" w:type="dxa"/>
            <w:gridSpan w:val="3"/>
            <w:vMerge w:val="continue"/>
            <w:tcBorders>
              <w:top w:val="nil"/>
            </w:tcBorders>
            <w:vAlign w:val="center"/>
          </w:tcPr>
          <w:p w14:paraId="68D903BC">
            <w:pPr>
              <w:spacing w:line="240" w:lineRule="exact"/>
              <w:jc w:val="center"/>
              <w:rPr>
                <w:rFonts w:eastAsia="仿宋"/>
                <w:sz w:val="2"/>
                <w:szCs w:val="2"/>
                <w:highlight w:val="none"/>
              </w:rPr>
            </w:pPr>
          </w:p>
        </w:tc>
        <w:tc>
          <w:tcPr>
            <w:tcW w:w="1383" w:type="dxa"/>
            <w:vAlign w:val="center"/>
          </w:tcPr>
          <w:p w14:paraId="12572841">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4195B484">
            <w:pPr>
              <w:pStyle w:val="39"/>
              <w:spacing w:line="240" w:lineRule="exact"/>
              <w:jc w:val="center"/>
              <w:rPr>
                <w:rFonts w:ascii="Times New Roman" w:hAnsi="Times New Roman" w:eastAsia="仿宋" w:cs="Times New Roman"/>
                <w:highlight w:val="none"/>
              </w:rPr>
            </w:pPr>
          </w:p>
        </w:tc>
        <w:tc>
          <w:tcPr>
            <w:tcW w:w="1172" w:type="dxa"/>
            <w:vAlign w:val="center"/>
          </w:tcPr>
          <w:p w14:paraId="76317092">
            <w:pPr>
              <w:pStyle w:val="39"/>
              <w:spacing w:line="240" w:lineRule="exact"/>
              <w:jc w:val="center"/>
              <w:rPr>
                <w:rFonts w:ascii="Times New Roman" w:hAnsi="Times New Roman" w:eastAsia="仿宋" w:cs="Times New Roman"/>
                <w:highlight w:val="none"/>
              </w:rPr>
            </w:pPr>
          </w:p>
        </w:tc>
      </w:tr>
      <w:tr w14:paraId="66B02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555CA74D">
            <w:pPr>
              <w:spacing w:line="240" w:lineRule="exact"/>
              <w:jc w:val="center"/>
              <w:rPr>
                <w:rFonts w:eastAsia="仿宋"/>
                <w:sz w:val="2"/>
                <w:szCs w:val="2"/>
                <w:highlight w:val="none"/>
              </w:rPr>
            </w:pPr>
          </w:p>
        </w:tc>
        <w:tc>
          <w:tcPr>
            <w:tcW w:w="3631" w:type="dxa"/>
            <w:gridSpan w:val="3"/>
            <w:vMerge w:val="restart"/>
            <w:vAlign w:val="center"/>
          </w:tcPr>
          <w:p w14:paraId="19DA8190">
            <w:pPr>
              <w:pStyle w:val="39"/>
              <w:spacing w:line="240" w:lineRule="exact"/>
              <w:jc w:val="center"/>
              <w:rPr>
                <w:rFonts w:ascii="Times New Roman" w:hAnsi="Times New Roman" w:eastAsia="仿宋" w:cs="Times New Roman"/>
                <w:sz w:val="25"/>
                <w:highlight w:val="none"/>
              </w:rPr>
            </w:pPr>
          </w:p>
          <w:p w14:paraId="7864BD32">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经济效益</w:t>
            </w:r>
          </w:p>
        </w:tc>
        <w:tc>
          <w:tcPr>
            <w:tcW w:w="1383" w:type="dxa"/>
            <w:vAlign w:val="center"/>
          </w:tcPr>
          <w:p w14:paraId="62B372FA">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1FA43D6E">
            <w:pPr>
              <w:pStyle w:val="39"/>
              <w:spacing w:line="240" w:lineRule="exact"/>
              <w:jc w:val="center"/>
              <w:rPr>
                <w:rFonts w:ascii="Times New Roman" w:hAnsi="Times New Roman" w:eastAsia="仿宋" w:cs="Times New Roman"/>
                <w:highlight w:val="none"/>
              </w:rPr>
            </w:pPr>
          </w:p>
        </w:tc>
        <w:tc>
          <w:tcPr>
            <w:tcW w:w="1172" w:type="dxa"/>
            <w:vAlign w:val="center"/>
          </w:tcPr>
          <w:p w14:paraId="7A860EFD">
            <w:pPr>
              <w:pStyle w:val="39"/>
              <w:spacing w:line="240" w:lineRule="exact"/>
              <w:jc w:val="center"/>
              <w:rPr>
                <w:rFonts w:ascii="Times New Roman" w:hAnsi="Times New Roman" w:eastAsia="仿宋" w:cs="Times New Roman"/>
                <w:highlight w:val="none"/>
              </w:rPr>
            </w:pPr>
          </w:p>
        </w:tc>
      </w:tr>
      <w:tr w14:paraId="21575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3E90BA26">
            <w:pPr>
              <w:spacing w:line="240" w:lineRule="exact"/>
              <w:jc w:val="center"/>
              <w:rPr>
                <w:rFonts w:eastAsia="仿宋"/>
                <w:sz w:val="2"/>
                <w:szCs w:val="2"/>
                <w:highlight w:val="none"/>
              </w:rPr>
            </w:pPr>
          </w:p>
        </w:tc>
        <w:tc>
          <w:tcPr>
            <w:tcW w:w="3631" w:type="dxa"/>
            <w:gridSpan w:val="3"/>
            <w:vMerge w:val="continue"/>
            <w:tcBorders>
              <w:top w:val="nil"/>
            </w:tcBorders>
            <w:vAlign w:val="center"/>
          </w:tcPr>
          <w:p w14:paraId="5E1401E3">
            <w:pPr>
              <w:spacing w:line="240" w:lineRule="exact"/>
              <w:jc w:val="center"/>
              <w:rPr>
                <w:rFonts w:eastAsia="仿宋"/>
                <w:sz w:val="2"/>
                <w:szCs w:val="2"/>
                <w:highlight w:val="none"/>
              </w:rPr>
            </w:pPr>
          </w:p>
        </w:tc>
        <w:tc>
          <w:tcPr>
            <w:tcW w:w="1383" w:type="dxa"/>
            <w:vAlign w:val="center"/>
          </w:tcPr>
          <w:p w14:paraId="6C733274">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28C6F612">
            <w:pPr>
              <w:pStyle w:val="39"/>
              <w:spacing w:line="240" w:lineRule="exact"/>
              <w:jc w:val="center"/>
              <w:rPr>
                <w:rFonts w:ascii="Times New Roman" w:hAnsi="Times New Roman" w:eastAsia="仿宋" w:cs="Times New Roman"/>
                <w:highlight w:val="none"/>
              </w:rPr>
            </w:pPr>
          </w:p>
        </w:tc>
        <w:tc>
          <w:tcPr>
            <w:tcW w:w="1172" w:type="dxa"/>
            <w:vAlign w:val="center"/>
          </w:tcPr>
          <w:p w14:paraId="4971607D">
            <w:pPr>
              <w:pStyle w:val="39"/>
              <w:spacing w:line="240" w:lineRule="exact"/>
              <w:jc w:val="center"/>
              <w:rPr>
                <w:rFonts w:ascii="Times New Roman" w:hAnsi="Times New Roman" w:eastAsia="仿宋" w:cs="Times New Roman"/>
                <w:highlight w:val="none"/>
              </w:rPr>
            </w:pPr>
          </w:p>
        </w:tc>
      </w:tr>
      <w:tr w14:paraId="7B4BD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550FBE01">
            <w:pPr>
              <w:spacing w:line="240" w:lineRule="exact"/>
              <w:jc w:val="center"/>
              <w:rPr>
                <w:rFonts w:eastAsia="仿宋"/>
                <w:sz w:val="2"/>
                <w:szCs w:val="2"/>
                <w:highlight w:val="none"/>
              </w:rPr>
            </w:pPr>
          </w:p>
        </w:tc>
        <w:tc>
          <w:tcPr>
            <w:tcW w:w="3631" w:type="dxa"/>
            <w:gridSpan w:val="3"/>
            <w:vMerge w:val="restart"/>
            <w:vAlign w:val="center"/>
          </w:tcPr>
          <w:p w14:paraId="4DAB7D46">
            <w:pPr>
              <w:pStyle w:val="39"/>
              <w:spacing w:line="240" w:lineRule="exact"/>
              <w:jc w:val="center"/>
              <w:rPr>
                <w:rFonts w:ascii="Times New Roman" w:hAnsi="Times New Roman" w:eastAsia="仿宋" w:cs="Times New Roman"/>
                <w:sz w:val="25"/>
                <w:highlight w:val="none"/>
              </w:rPr>
            </w:pPr>
          </w:p>
          <w:p w14:paraId="7EA618AB">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生态效益</w:t>
            </w:r>
          </w:p>
        </w:tc>
        <w:tc>
          <w:tcPr>
            <w:tcW w:w="1383" w:type="dxa"/>
            <w:vAlign w:val="center"/>
          </w:tcPr>
          <w:p w14:paraId="749D8DAB">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7D789197">
            <w:pPr>
              <w:pStyle w:val="39"/>
              <w:spacing w:line="240" w:lineRule="exact"/>
              <w:jc w:val="center"/>
              <w:rPr>
                <w:rFonts w:ascii="Times New Roman" w:hAnsi="Times New Roman" w:eastAsia="仿宋" w:cs="Times New Roman"/>
                <w:highlight w:val="none"/>
              </w:rPr>
            </w:pPr>
          </w:p>
        </w:tc>
        <w:tc>
          <w:tcPr>
            <w:tcW w:w="1172" w:type="dxa"/>
            <w:vAlign w:val="center"/>
          </w:tcPr>
          <w:p w14:paraId="76FEAB1D">
            <w:pPr>
              <w:pStyle w:val="39"/>
              <w:spacing w:line="240" w:lineRule="exact"/>
              <w:jc w:val="center"/>
              <w:rPr>
                <w:rFonts w:ascii="Times New Roman" w:hAnsi="Times New Roman" w:eastAsia="仿宋" w:cs="Times New Roman"/>
                <w:highlight w:val="none"/>
              </w:rPr>
            </w:pPr>
          </w:p>
        </w:tc>
      </w:tr>
      <w:tr w14:paraId="56824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380F4A51">
            <w:pPr>
              <w:spacing w:line="240" w:lineRule="exact"/>
              <w:jc w:val="center"/>
              <w:rPr>
                <w:rFonts w:eastAsia="仿宋"/>
                <w:sz w:val="2"/>
                <w:szCs w:val="2"/>
                <w:highlight w:val="none"/>
              </w:rPr>
            </w:pPr>
          </w:p>
        </w:tc>
        <w:tc>
          <w:tcPr>
            <w:tcW w:w="3631" w:type="dxa"/>
            <w:gridSpan w:val="3"/>
            <w:vMerge w:val="continue"/>
            <w:tcBorders>
              <w:top w:val="nil"/>
            </w:tcBorders>
            <w:vAlign w:val="center"/>
          </w:tcPr>
          <w:p w14:paraId="5D9B25DE">
            <w:pPr>
              <w:spacing w:line="240" w:lineRule="exact"/>
              <w:jc w:val="center"/>
              <w:rPr>
                <w:rFonts w:eastAsia="仿宋"/>
                <w:sz w:val="2"/>
                <w:szCs w:val="2"/>
                <w:highlight w:val="none"/>
              </w:rPr>
            </w:pPr>
          </w:p>
        </w:tc>
        <w:tc>
          <w:tcPr>
            <w:tcW w:w="1383" w:type="dxa"/>
            <w:vAlign w:val="center"/>
          </w:tcPr>
          <w:p w14:paraId="7794A579">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6C7BADF7">
            <w:pPr>
              <w:pStyle w:val="39"/>
              <w:spacing w:line="240" w:lineRule="exact"/>
              <w:jc w:val="center"/>
              <w:rPr>
                <w:rFonts w:ascii="Times New Roman" w:hAnsi="Times New Roman" w:eastAsia="仿宋" w:cs="Times New Roman"/>
                <w:highlight w:val="none"/>
              </w:rPr>
            </w:pPr>
          </w:p>
        </w:tc>
        <w:tc>
          <w:tcPr>
            <w:tcW w:w="1172" w:type="dxa"/>
            <w:vAlign w:val="center"/>
          </w:tcPr>
          <w:p w14:paraId="2AB95EF9">
            <w:pPr>
              <w:pStyle w:val="39"/>
              <w:spacing w:line="240" w:lineRule="exact"/>
              <w:jc w:val="center"/>
              <w:rPr>
                <w:rFonts w:ascii="Times New Roman" w:hAnsi="Times New Roman" w:eastAsia="仿宋" w:cs="Times New Roman"/>
                <w:highlight w:val="none"/>
              </w:rPr>
            </w:pPr>
          </w:p>
        </w:tc>
      </w:tr>
      <w:tr w14:paraId="3F5DE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643E532A">
            <w:pPr>
              <w:spacing w:line="240" w:lineRule="exact"/>
              <w:jc w:val="center"/>
              <w:rPr>
                <w:rFonts w:eastAsia="仿宋"/>
                <w:sz w:val="2"/>
                <w:szCs w:val="2"/>
                <w:highlight w:val="none"/>
              </w:rPr>
            </w:pPr>
          </w:p>
        </w:tc>
        <w:tc>
          <w:tcPr>
            <w:tcW w:w="3631" w:type="dxa"/>
            <w:gridSpan w:val="3"/>
            <w:vMerge w:val="restart"/>
            <w:vAlign w:val="center"/>
          </w:tcPr>
          <w:p w14:paraId="34E3FC73">
            <w:pPr>
              <w:pStyle w:val="39"/>
              <w:spacing w:line="240" w:lineRule="exact"/>
              <w:jc w:val="center"/>
              <w:rPr>
                <w:rFonts w:ascii="Times New Roman" w:hAnsi="Times New Roman" w:eastAsia="仿宋" w:cs="Times New Roman"/>
                <w:sz w:val="25"/>
                <w:highlight w:val="none"/>
              </w:rPr>
            </w:pPr>
          </w:p>
          <w:p w14:paraId="604CAAD0">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可持续发展</w:t>
            </w:r>
          </w:p>
        </w:tc>
        <w:tc>
          <w:tcPr>
            <w:tcW w:w="1383" w:type="dxa"/>
            <w:vAlign w:val="center"/>
          </w:tcPr>
          <w:p w14:paraId="48FA01F0">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3DB6B898">
            <w:pPr>
              <w:pStyle w:val="39"/>
              <w:spacing w:line="240" w:lineRule="exact"/>
              <w:jc w:val="center"/>
              <w:rPr>
                <w:rFonts w:ascii="Times New Roman" w:hAnsi="Times New Roman" w:eastAsia="仿宋" w:cs="Times New Roman"/>
                <w:highlight w:val="none"/>
              </w:rPr>
            </w:pPr>
          </w:p>
        </w:tc>
        <w:tc>
          <w:tcPr>
            <w:tcW w:w="1172" w:type="dxa"/>
            <w:vAlign w:val="center"/>
          </w:tcPr>
          <w:p w14:paraId="16BAEEBA">
            <w:pPr>
              <w:pStyle w:val="39"/>
              <w:spacing w:line="240" w:lineRule="exact"/>
              <w:jc w:val="center"/>
              <w:rPr>
                <w:rFonts w:ascii="Times New Roman" w:hAnsi="Times New Roman" w:eastAsia="仿宋" w:cs="Times New Roman"/>
                <w:highlight w:val="none"/>
              </w:rPr>
            </w:pPr>
          </w:p>
        </w:tc>
      </w:tr>
      <w:tr w14:paraId="0E4AB6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72AA9EA0">
            <w:pPr>
              <w:spacing w:line="240" w:lineRule="exact"/>
              <w:jc w:val="center"/>
              <w:rPr>
                <w:rFonts w:eastAsia="仿宋"/>
                <w:sz w:val="2"/>
                <w:szCs w:val="2"/>
                <w:highlight w:val="none"/>
              </w:rPr>
            </w:pPr>
          </w:p>
        </w:tc>
        <w:tc>
          <w:tcPr>
            <w:tcW w:w="3631" w:type="dxa"/>
            <w:gridSpan w:val="3"/>
            <w:vMerge w:val="continue"/>
            <w:tcBorders>
              <w:top w:val="nil"/>
            </w:tcBorders>
            <w:vAlign w:val="center"/>
          </w:tcPr>
          <w:p w14:paraId="3793FED7">
            <w:pPr>
              <w:spacing w:line="240" w:lineRule="exact"/>
              <w:jc w:val="center"/>
              <w:rPr>
                <w:rFonts w:eastAsia="仿宋"/>
                <w:sz w:val="2"/>
                <w:szCs w:val="2"/>
                <w:highlight w:val="none"/>
              </w:rPr>
            </w:pPr>
          </w:p>
        </w:tc>
        <w:tc>
          <w:tcPr>
            <w:tcW w:w="1383" w:type="dxa"/>
            <w:vAlign w:val="center"/>
          </w:tcPr>
          <w:p w14:paraId="0DE3054D">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714F74B0">
            <w:pPr>
              <w:pStyle w:val="39"/>
              <w:spacing w:line="240" w:lineRule="exact"/>
              <w:jc w:val="center"/>
              <w:rPr>
                <w:rFonts w:ascii="Times New Roman" w:hAnsi="Times New Roman" w:eastAsia="仿宋" w:cs="Times New Roman"/>
                <w:highlight w:val="none"/>
              </w:rPr>
            </w:pPr>
          </w:p>
        </w:tc>
        <w:tc>
          <w:tcPr>
            <w:tcW w:w="1172" w:type="dxa"/>
            <w:vAlign w:val="center"/>
          </w:tcPr>
          <w:p w14:paraId="4DC83708">
            <w:pPr>
              <w:pStyle w:val="39"/>
              <w:spacing w:line="240" w:lineRule="exact"/>
              <w:jc w:val="center"/>
              <w:rPr>
                <w:rFonts w:ascii="Times New Roman" w:hAnsi="Times New Roman" w:eastAsia="仿宋" w:cs="Times New Roman"/>
                <w:highlight w:val="none"/>
              </w:rPr>
            </w:pPr>
          </w:p>
        </w:tc>
      </w:tr>
      <w:tr w14:paraId="61FB5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restart"/>
            <w:vAlign w:val="center"/>
          </w:tcPr>
          <w:p w14:paraId="0B06AEF7">
            <w:pPr>
              <w:pStyle w:val="39"/>
              <w:spacing w:line="240" w:lineRule="exact"/>
              <w:jc w:val="center"/>
              <w:rPr>
                <w:rFonts w:ascii="Times New Roman" w:hAnsi="Times New Roman" w:eastAsia="仿宋" w:cs="Times New Roman"/>
                <w:sz w:val="25"/>
                <w:highlight w:val="none"/>
              </w:rPr>
            </w:pPr>
          </w:p>
          <w:p w14:paraId="5983411E">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满意度</w:t>
            </w:r>
          </w:p>
        </w:tc>
        <w:tc>
          <w:tcPr>
            <w:tcW w:w="3631" w:type="dxa"/>
            <w:gridSpan w:val="3"/>
            <w:vMerge w:val="restart"/>
            <w:vAlign w:val="center"/>
          </w:tcPr>
          <w:p w14:paraId="3C2E7BEF">
            <w:pPr>
              <w:pStyle w:val="39"/>
              <w:spacing w:line="240" w:lineRule="exact"/>
              <w:jc w:val="center"/>
              <w:rPr>
                <w:rFonts w:ascii="Times New Roman" w:hAnsi="Times New Roman" w:eastAsia="仿宋" w:cs="Times New Roman"/>
                <w:sz w:val="25"/>
                <w:highlight w:val="none"/>
              </w:rPr>
            </w:pPr>
          </w:p>
          <w:p w14:paraId="1BDDFF4D">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服务对象满意度</w:t>
            </w:r>
          </w:p>
        </w:tc>
        <w:tc>
          <w:tcPr>
            <w:tcW w:w="1383" w:type="dxa"/>
            <w:vAlign w:val="center"/>
          </w:tcPr>
          <w:p w14:paraId="49286574">
            <w:pPr>
              <w:pStyle w:val="39"/>
              <w:spacing w:line="240" w:lineRule="exact"/>
              <w:jc w:val="center"/>
              <w:rPr>
                <w:rFonts w:ascii="Times New Roman" w:hAnsi="Times New Roman" w:eastAsia="仿宋" w:cs="Times New Roman"/>
                <w:sz w:val="21"/>
                <w:highlight w:val="none"/>
              </w:rPr>
            </w:pPr>
            <w:r>
              <w:rPr>
                <w:rFonts w:ascii="Times New Roman" w:hAnsi="Times New Roman" w:eastAsia="仿宋" w:cs="Times New Roman"/>
                <w:sz w:val="21"/>
                <w:highlight w:val="none"/>
              </w:rPr>
              <w:t>指标1</w:t>
            </w:r>
          </w:p>
        </w:tc>
        <w:tc>
          <w:tcPr>
            <w:tcW w:w="1189" w:type="dxa"/>
            <w:vAlign w:val="center"/>
          </w:tcPr>
          <w:p w14:paraId="3C011C37">
            <w:pPr>
              <w:pStyle w:val="39"/>
              <w:spacing w:line="240" w:lineRule="exact"/>
              <w:jc w:val="center"/>
              <w:rPr>
                <w:rFonts w:ascii="Times New Roman" w:hAnsi="Times New Roman" w:eastAsia="仿宋" w:cs="Times New Roman"/>
                <w:highlight w:val="none"/>
              </w:rPr>
            </w:pPr>
          </w:p>
        </w:tc>
        <w:tc>
          <w:tcPr>
            <w:tcW w:w="1172" w:type="dxa"/>
            <w:vAlign w:val="center"/>
          </w:tcPr>
          <w:p w14:paraId="6DEA8806">
            <w:pPr>
              <w:pStyle w:val="39"/>
              <w:spacing w:line="240" w:lineRule="exact"/>
              <w:jc w:val="center"/>
              <w:rPr>
                <w:rFonts w:ascii="Times New Roman" w:hAnsi="Times New Roman" w:eastAsia="仿宋" w:cs="Times New Roman"/>
                <w:highlight w:val="none"/>
              </w:rPr>
            </w:pPr>
          </w:p>
        </w:tc>
      </w:tr>
      <w:tr w14:paraId="0E82F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jc w:val="center"/>
        </w:trPr>
        <w:tc>
          <w:tcPr>
            <w:tcW w:w="946" w:type="dxa"/>
            <w:vMerge w:val="continue"/>
            <w:tcBorders>
              <w:top w:val="nil"/>
            </w:tcBorders>
            <w:vAlign w:val="center"/>
          </w:tcPr>
          <w:p w14:paraId="469D5107">
            <w:pPr>
              <w:spacing w:line="240" w:lineRule="exact"/>
              <w:jc w:val="center"/>
              <w:rPr>
                <w:rFonts w:eastAsia="仿宋"/>
                <w:sz w:val="2"/>
                <w:szCs w:val="2"/>
                <w:highlight w:val="none"/>
              </w:rPr>
            </w:pPr>
          </w:p>
        </w:tc>
        <w:tc>
          <w:tcPr>
            <w:tcW w:w="3631" w:type="dxa"/>
            <w:gridSpan w:val="3"/>
            <w:vMerge w:val="continue"/>
            <w:tcBorders>
              <w:top w:val="nil"/>
            </w:tcBorders>
            <w:vAlign w:val="center"/>
          </w:tcPr>
          <w:p w14:paraId="7F73BD96">
            <w:pPr>
              <w:spacing w:line="240" w:lineRule="exact"/>
              <w:jc w:val="center"/>
              <w:rPr>
                <w:rFonts w:eastAsia="仿宋"/>
                <w:sz w:val="2"/>
                <w:szCs w:val="2"/>
                <w:highlight w:val="none"/>
              </w:rPr>
            </w:pPr>
          </w:p>
        </w:tc>
        <w:tc>
          <w:tcPr>
            <w:tcW w:w="1383" w:type="dxa"/>
            <w:vAlign w:val="center"/>
          </w:tcPr>
          <w:p w14:paraId="7D7EBDEC">
            <w:pPr>
              <w:pStyle w:val="39"/>
              <w:spacing w:line="240" w:lineRule="exact"/>
              <w:jc w:val="center"/>
              <w:rPr>
                <w:rFonts w:hint="eastAsia" w:ascii="Times New Roman" w:hAnsi="Times New Roman" w:eastAsia="仿宋" w:cs="Times New Roman"/>
                <w:sz w:val="21"/>
                <w:highlight w:val="none"/>
                <w:lang w:eastAsia="zh-CN"/>
              </w:rPr>
            </w:pPr>
            <w:r>
              <w:rPr>
                <w:rFonts w:hint="eastAsia" w:ascii="仿宋_GB2312" w:hAnsi="仿宋_GB2312" w:eastAsia="仿宋" w:cs="Times New Roman"/>
                <w:w w:val="105"/>
                <w:sz w:val="21"/>
                <w:highlight w:val="none"/>
                <w:lang w:eastAsia="zh-CN"/>
              </w:rPr>
              <w:t>……</w:t>
            </w:r>
          </w:p>
        </w:tc>
        <w:tc>
          <w:tcPr>
            <w:tcW w:w="1189" w:type="dxa"/>
            <w:vAlign w:val="center"/>
          </w:tcPr>
          <w:p w14:paraId="75595ED5">
            <w:pPr>
              <w:pStyle w:val="39"/>
              <w:spacing w:line="240" w:lineRule="exact"/>
              <w:jc w:val="center"/>
              <w:rPr>
                <w:rFonts w:ascii="Times New Roman" w:hAnsi="Times New Roman" w:eastAsia="仿宋" w:cs="Times New Roman"/>
                <w:highlight w:val="none"/>
              </w:rPr>
            </w:pPr>
          </w:p>
        </w:tc>
        <w:tc>
          <w:tcPr>
            <w:tcW w:w="1172" w:type="dxa"/>
            <w:vAlign w:val="center"/>
          </w:tcPr>
          <w:p w14:paraId="4081F6DA">
            <w:pPr>
              <w:pStyle w:val="39"/>
              <w:spacing w:line="240" w:lineRule="exact"/>
              <w:jc w:val="center"/>
              <w:rPr>
                <w:rFonts w:ascii="Times New Roman" w:hAnsi="Times New Roman" w:eastAsia="仿宋" w:cs="Times New Roman"/>
                <w:highlight w:val="none"/>
              </w:rPr>
            </w:pPr>
          </w:p>
        </w:tc>
      </w:tr>
    </w:tbl>
    <w:p w14:paraId="380F47B1">
      <w:pPr>
        <w:pStyle w:val="4"/>
        <w:tabs>
          <w:tab w:val="left" w:pos="6669"/>
        </w:tabs>
        <w:ind w:left="198"/>
        <w:rPr>
          <w:rFonts w:hint="eastAsia" w:ascii="仿宋_GB2312" w:eastAsia="仿宋_GB2312"/>
          <w:sz w:val="32"/>
          <w:szCs w:val="32"/>
          <w:highlight w:val="none"/>
          <w:lang w:eastAsia="zh-CN"/>
        </w:rPr>
      </w:pPr>
      <w:bookmarkStart w:id="24" w:name="_Toc26074"/>
      <w:r>
        <w:rPr>
          <w:rFonts w:hint="eastAsia" w:ascii="仿宋_GB2312" w:eastAsia="仿宋_GB2312"/>
          <w:sz w:val="32"/>
          <w:szCs w:val="32"/>
          <w:highlight w:val="none"/>
        </w:rPr>
        <w:t>附件</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项目支出绩效自评表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参考</w:t>
      </w:r>
      <w:r>
        <w:rPr>
          <w:rFonts w:hint="eastAsia" w:ascii="仿宋_GB2312" w:eastAsia="仿宋_GB2312"/>
          <w:sz w:val="32"/>
          <w:szCs w:val="32"/>
          <w:highlight w:val="none"/>
          <w:lang w:eastAsia="zh-CN"/>
        </w:rPr>
        <w:t>）</w:t>
      </w:r>
      <w:bookmarkEnd w:id="24"/>
    </w:p>
    <w:tbl>
      <w:tblPr>
        <w:tblStyle w:val="19"/>
        <w:tblW w:w="0" w:type="auto"/>
        <w:jc w:val="center"/>
        <w:tblLayout w:type="fixed"/>
        <w:tblCellMar>
          <w:top w:w="0" w:type="dxa"/>
          <w:left w:w="108" w:type="dxa"/>
          <w:bottom w:w="0" w:type="dxa"/>
          <w:right w:w="108" w:type="dxa"/>
        </w:tblCellMar>
      </w:tblPr>
      <w:tblGrid>
        <w:gridCol w:w="844"/>
        <w:gridCol w:w="598"/>
        <w:gridCol w:w="362"/>
        <w:gridCol w:w="1298"/>
        <w:gridCol w:w="22"/>
        <w:gridCol w:w="1007"/>
        <w:gridCol w:w="251"/>
        <w:gridCol w:w="778"/>
        <w:gridCol w:w="779"/>
        <w:gridCol w:w="257"/>
        <w:gridCol w:w="397"/>
        <w:gridCol w:w="394"/>
        <w:gridCol w:w="236"/>
        <w:gridCol w:w="923"/>
        <w:gridCol w:w="699"/>
      </w:tblGrid>
      <w:tr w14:paraId="7FAC2CC0">
        <w:tblPrEx>
          <w:tblCellMar>
            <w:top w:w="0" w:type="dxa"/>
            <w:left w:w="108" w:type="dxa"/>
            <w:bottom w:w="0" w:type="dxa"/>
            <w:right w:w="108" w:type="dxa"/>
          </w:tblCellMar>
        </w:tblPrEx>
        <w:trPr>
          <w:trHeight w:val="860" w:hRule="atLeast"/>
          <w:jc w:val="center"/>
        </w:trPr>
        <w:tc>
          <w:tcPr>
            <w:tcW w:w="8845" w:type="dxa"/>
            <w:gridSpan w:val="15"/>
            <w:tcBorders>
              <w:top w:val="nil"/>
              <w:left w:val="nil"/>
              <w:bottom w:val="nil"/>
              <w:right w:val="nil"/>
            </w:tcBorders>
            <w:vAlign w:val="center"/>
          </w:tcPr>
          <w:p w14:paraId="2AAA1EA0">
            <w:pPr>
              <w:spacing w:line="560" w:lineRule="exact"/>
              <w:jc w:val="center"/>
              <w:rPr>
                <w:rFonts w:ascii="方正小标宋简体" w:hAnsi="华文中宋" w:eastAsia="方正小标宋简体" w:cs="宋体"/>
                <w:bCs/>
                <w:sz w:val="44"/>
                <w:szCs w:val="44"/>
                <w:highlight w:val="none"/>
              </w:rPr>
            </w:pPr>
            <w:r>
              <w:rPr>
                <w:rFonts w:hint="eastAsia" w:ascii="方正小标宋简体" w:hAnsi="华文中宋" w:eastAsia="方正小标宋简体" w:cs="宋体"/>
                <w:bCs/>
                <w:spacing w:val="20"/>
                <w:sz w:val="44"/>
                <w:szCs w:val="44"/>
                <w:highlight w:val="none"/>
              </w:rPr>
              <w:t>项目支出绩效自评表</w:t>
            </w:r>
          </w:p>
        </w:tc>
      </w:tr>
      <w:tr w14:paraId="45BA415D">
        <w:tblPrEx>
          <w:tblCellMar>
            <w:top w:w="0" w:type="dxa"/>
            <w:left w:w="108" w:type="dxa"/>
            <w:bottom w:w="0" w:type="dxa"/>
            <w:right w:w="108" w:type="dxa"/>
          </w:tblCellMar>
        </w:tblPrEx>
        <w:trPr>
          <w:trHeight w:val="293" w:hRule="atLeast"/>
          <w:jc w:val="center"/>
        </w:trPr>
        <w:tc>
          <w:tcPr>
            <w:tcW w:w="8845" w:type="dxa"/>
            <w:gridSpan w:val="15"/>
            <w:tcBorders>
              <w:top w:val="nil"/>
              <w:left w:val="nil"/>
              <w:bottom w:val="nil"/>
              <w:right w:val="nil"/>
            </w:tcBorders>
          </w:tcPr>
          <w:p w14:paraId="38EA49B6">
            <w:pPr>
              <w:spacing w:line="400" w:lineRule="exact"/>
              <w:jc w:val="center"/>
              <w:rPr>
                <w:rFonts w:ascii="楷体_GB2312" w:hAnsi="宋体" w:eastAsia="楷体_GB2312" w:cs="宋体"/>
                <w:highlight w:val="none"/>
              </w:rPr>
            </w:pPr>
            <w:r>
              <w:rPr>
                <w:rFonts w:hint="eastAsia" w:ascii="方正楷体简体" w:hAnsi="方正楷体简体" w:eastAsia="方正楷体简体" w:cs="方正楷体简体"/>
                <w:sz w:val="32"/>
                <w:szCs w:val="40"/>
                <w:highlight w:val="none"/>
              </w:rPr>
              <w:t>（    年度）</w:t>
            </w:r>
          </w:p>
        </w:tc>
      </w:tr>
      <w:tr w14:paraId="643C418F">
        <w:tblPrEx>
          <w:tblCellMar>
            <w:top w:w="0" w:type="dxa"/>
            <w:left w:w="108" w:type="dxa"/>
            <w:bottom w:w="0" w:type="dxa"/>
            <w:right w:w="108" w:type="dxa"/>
          </w:tblCellMar>
        </w:tblPrEx>
        <w:trPr>
          <w:trHeight w:val="284" w:hRule="exact"/>
          <w:jc w:val="center"/>
        </w:trPr>
        <w:tc>
          <w:tcPr>
            <w:tcW w:w="1442" w:type="dxa"/>
            <w:gridSpan w:val="2"/>
            <w:tcBorders>
              <w:top w:val="single" w:color="auto" w:sz="4" w:space="0"/>
              <w:left w:val="single" w:color="auto" w:sz="4" w:space="0"/>
              <w:bottom w:val="single" w:color="auto" w:sz="4" w:space="0"/>
              <w:right w:val="single" w:color="auto" w:sz="4" w:space="0"/>
            </w:tcBorders>
            <w:vAlign w:val="center"/>
          </w:tcPr>
          <w:p w14:paraId="02615674">
            <w:pPr>
              <w:spacing w:line="240" w:lineRule="exact"/>
              <w:jc w:val="center"/>
              <w:rPr>
                <w:rFonts w:ascii="宋体" w:hAnsi="宋体" w:cs="宋体"/>
                <w:sz w:val="18"/>
                <w:szCs w:val="18"/>
                <w:highlight w:val="none"/>
              </w:rPr>
            </w:pPr>
            <w:r>
              <w:rPr>
                <w:rFonts w:hint="eastAsia" w:ascii="宋体" w:hAnsi="宋体" w:cs="宋体"/>
                <w:sz w:val="18"/>
                <w:szCs w:val="18"/>
                <w:highlight w:val="none"/>
              </w:rPr>
              <w:t>项目名称</w:t>
            </w:r>
          </w:p>
        </w:tc>
        <w:tc>
          <w:tcPr>
            <w:tcW w:w="7403" w:type="dxa"/>
            <w:gridSpan w:val="13"/>
            <w:tcBorders>
              <w:top w:val="single" w:color="auto" w:sz="4" w:space="0"/>
              <w:left w:val="nil"/>
              <w:bottom w:val="single" w:color="auto" w:sz="4" w:space="0"/>
              <w:right w:val="single" w:color="auto" w:sz="4" w:space="0"/>
            </w:tcBorders>
            <w:vAlign w:val="center"/>
          </w:tcPr>
          <w:p w14:paraId="210A53D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772591D9">
        <w:tblPrEx>
          <w:tblCellMar>
            <w:top w:w="0" w:type="dxa"/>
            <w:left w:w="108" w:type="dxa"/>
            <w:bottom w:w="0" w:type="dxa"/>
            <w:right w:w="108" w:type="dxa"/>
          </w:tblCellMar>
        </w:tblPrEx>
        <w:trPr>
          <w:trHeight w:val="541" w:hRule="exact"/>
          <w:jc w:val="center"/>
        </w:trPr>
        <w:tc>
          <w:tcPr>
            <w:tcW w:w="1442" w:type="dxa"/>
            <w:gridSpan w:val="2"/>
            <w:tcBorders>
              <w:top w:val="single" w:color="auto" w:sz="4" w:space="0"/>
              <w:left w:val="single" w:color="auto" w:sz="4" w:space="0"/>
              <w:bottom w:val="single" w:color="auto" w:sz="4" w:space="0"/>
              <w:right w:val="single" w:color="auto" w:sz="4" w:space="0"/>
            </w:tcBorders>
            <w:vAlign w:val="center"/>
          </w:tcPr>
          <w:p w14:paraId="1BFFBEFD">
            <w:pPr>
              <w:spacing w:line="240" w:lineRule="exact"/>
              <w:jc w:val="center"/>
              <w:rPr>
                <w:rFonts w:ascii="宋体" w:hAnsi="宋体" w:cs="宋体"/>
                <w:sz w:val="18"/>
                <w:szCs w:val="18"/>
                <w:highlight w:val="none"/>
              </w:rPr>
            </w:pPr>
            <w:r>
              <w:rPr>
                <w:rFonts w:hint="eastAsia" w:ascii="宋体" w:hAnsi="宋体" w:cs="宋体"/>
                <w:sz w:val="18"/>
                <w:szCs w:val="18"/>
                <w:highlight w:val="none"/>
              </w:rPr>
              <w:t>主管部门及代码</w:t>
            </w:r>
          </w:p>
        </w:tc>
        <w:tc>
          <w:tcPr>
            <w:tcW w:w="3718" w:type="dxa"/>
            <w:gridSpan w:val="6"/>
            <w:tcBorders>
              <w:top w:val="single" w:color="auto" w:sz="4" w:space="0"/>
              <w:left w:val="nil"/>
              <w:bottom w:val="single" w:color="auto" w:sz="4" w:space="0"/>
              <w:right w:val="single" w:color="auto" w:sz="4" w:space="0"/>
            </w:tcBorders>
            <w:vAlign w:val="center"/>
          </w:tcPr>
          <w:p w14:paraId="1F32F3B4">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14:paraId="7E0E594B">
            <w:pPr>
              <w:spacing w:line="240" w:lineRule="exact"/>
              <w:jc w:val="center"/>
              <w:rPr>
                <w:rFonts w:ascii="宋体" w:hAnsi="宋体" w:cs="宋体"/>
                <w:sz w:val="18"/>
                <w:szCs w:val="18"/>
                <w:highlight w:val="none"/>
              </w:rPr>
            </w:pPr>
            <w:r>
              <w:rPr>
                <w:rFonts w:hint="eastAsia" w:ascii="宋体" w:hAnsi="宋体" w:cs="宋体"/>
                <w:sz w:val="18"/>
                <w:szCs w:val="18"/>
                <w:highlight w:val="none"/>
              </w:rPr>
              <w:t>实施单位</w:t>
            </w:r>
          </w:p>
        </w:tc>
        <w:tc>
          <w:tcPr>
            <w:tcW w:w="2649" w:type="dxa"/>
            <w:gridSpan w:val="5"/>
            <w:tcBorders>
              <w:top w:val="single" w:color="auto" w:sz="4" w:space="0"/>
              <w:left w:val="nil"/>
              <w:bottom w:val="single" w:color="auto" w:sz="4" w:space="0"/>
              <w:right w:val="single" w:color="auto" w:sz="4" w:space="0"/>
            </w:tcBorders>
            <w:vAlign w:val="center"/>
          </w:tcPr>
          <w:p w14:paraId="4C92797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1EB78D86">
        <w:tblPrEx>
          <w:tblCellMar>
            <w:top w:w="0" w:type="dxa"/>
            <w:left w:w="108" w:type="dxa"/>
            <w:bottom w:w="0" w:type="dxa"/>
            <w:right w:w="108" w:type="dxa"/>
          </w:tblCellMar>
        </w:tblPrEx>
        <w:trPr>
          <w:trHeight w:val="284" w:hRule="exact"/>
          <w:jc w:val="center"/>
        </w:trPr>
        <w:tc>
          <w:tcPr>
            <w:tcW w:w="1442" w:type="dxa"/>
            <w:gridSpan w:val="2"/>
            <w:vMerge w:val="restart"/>
            <w:tcBorders>
              <w:top w:val="single" w:color="auto" w:sz="4" w:space="0"/>
              <w:left w:val="single" w:color="auto" w:sz="4" w:space="0"/>
              <w:bottom w:val="single" w:color="auto" w:sz="4" w:space="0"/>
              <w:right w:val="single" w:color="auto" w:sz="4" w:space="0"/>
            </w:tcBorders>
            <w:vAlign w:val="center"/>
          </w:tcPr>
          <w:p w14:paraId="32BC7F11">
            <w:pPr>
              <w:spacing w:line="240" w:lineRule="exact"/>
              <w:jc w:val="center"/>
              <w:rPr>
                <w:rFonts w:ascii="宋体" w:hAnsi="宋体" w:cs="宋体"/>
                <w:sz w:val="18"/>
                <w:szCs w:val="18"/>
                <w:highlight w:val="none"/>
              </w:rPr>
            </w:pPr>
            <w:r>
              <w:rPr>
                <w:rFonts w:hint="eastAsia" w:ascii="宋体" w:hAnsi="宋体" w:cs="宋体"/>
                <w:sz w:val="18"/>
                <w:szCs w:val="18"/>
                <w:highlight w:val="none"/>
              </w:rPr>
              <w:t>项目资金</w:t>
            </w:r>
            <w:r>
              <w:rPr>
                <w:rFonts w:hint="eastAsia" w:ascii="宋体" w:hAnsi="宋体" w:cs="宋体"/>
                <w:sz w:val="18"/>
                <w:szCs w:val="18"/>
                <w:highlight w:val="none"/>
              </w:rPr>
              <w:br w:type="textWrapping"/>
            </w:r>
            <w:r>
              <w:rPr>
                <w:rFonts w:hint="eastAsia" w:ascii="宋体" w:hAnsi="宋体" w:cs="宋体"/>
                <w:sz w:val="18"/>
                <w:szCs w:val="18"/>
                <w:highlight w:val="none"/>
              </w:rPr>
              <w:t>（万元）</w:t>
            </w:r>
          </w:p>
        </w:tc>
        <w:tc>
          <w:tcPr>
            <w:tcW w:w="1660" w:type="dxa"/>
            <w:gridSpan w:val="2"/>
            <w:tcBorders>
              <w:top w:val="single" w:color="auto" w:sz="4" w:space="0"/>
              <w:left w:val="nil"/>
              <w:bottom w:val="single" w:color="auto" w:sz="4" w:space="0"/>
              <w:right w:val="single" w:color="auto" w:sz="4" w:space="0"/>
            </w:tcBorders>
            <w:vAlign w:val="center"/>
          </w:tcPr>
          <w:p w14:paraId="2CE8B45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14:paraId="405C9D9A">
            <w:pPr>
              <w:spacing w:line="240" w:lineRule="exact"/>
              <w:jc w:val="center"/>
              <w:rPr>
                <w:rFonts w:ascii="宋体" w:hAnsi="宋体" w:cs="宋体"/>
                <w:sz w:val="18"/>
                <w:szCs w:val="18"/>
                <w:highlight w:val="none"/>
              </w:rPr>
            </w:pPr>
            <w:r>
              <w:rPr>
                <w:rFonts w:hint="eastAsia" w:ascii="宋体" w:hAnsi="宋体" w:cs="宋体"/>
                <w:sz w:val="18"/>
                <w:szCs w:val="18"/>
                <w:highlight w:val="none"/>
              </w:rPr>
              <w:t>年初预算数</w:t>
            </w:r>
          </w:p>
        </w:tc>
        <w:tc>
          <w:tcPr>
            <w:tcW w:w="1029" w:type="dxa"/>
            <w:gridSpan w:val="2"/>
            <w:tcBorders>
              <w:top w:val="nil"/>
              <w:left w:val="nil"/>
              <w:bottom w:val="single" w:color="auto" w:sz="4" w:space="0"/>
              <w:right w:val="single" w:color="auto" w:sz="4" w:space="0"/>
            </w:tcBorders>
            <w:vAlign w:val="center"/>
          </w:tcPr>
          <w:p w14:paraId="50C37399">
            <w:pPr>
              <w:spacing w:line="240" w:lineRule="exact"/>
              <w:jc w:val="center"/>
              <w:rPr>
                <w:rFonts w:ascii="宋体" w:hAnsi="宋体" w:cs="宋体"/>
                <w:sz w:val="18"/>
                <w:szCs w:val="18"/>
                <w:highlight w:val="none"/>
              </w:rPr>
            </w:pPr>
            <w:r>
              <w:rPr>
                <w:rFonts w:hint="eastAsia" w:ascii="宋体" w:hAnsi="宋体" w:cs="宋体"/>
                <w:sz w:val="18"/>
                <w:szCs w:val="18"/>
                <w:highlight w:val="none"/>
              </w:rPr>
              <w:t>全年预算数</w:t>
            </w:r>
          </w:p>
        </w:tc>
        <w:tc>
          <w:tcPr>
            <w:tcW w:w="1036" w:type="dxa"/>
            <w:gridSpan w:val="2"/>
            <w:tcBorders>
              <w:top w:val="nil"/>
              <w:left w:val="nil"/>
              <w:bottom w:val="single" w:color="auto" w:sz="4" w:space="0"/>
              <w:right w:val="single" w:color="auto" w:sz="4" w:space="0"/>
            </w:tcBorders>
            <w:vAlign w:val="center"/>
          </w:tcPr>
          <w:p w14:paraId="0F7C324D">
            <w:pPr>
              <w:spacing w:line="240" w:lineRule="exact"/>
              <w:jc w:val="center"/>
              <w:rPr>
                <w:rFonts w:ascii="宋体" w:hAnsi="宋体" w:cs="宋体"/>
                <w:sz w:val="18"/>
                <w:szCs w:val="18"/>
                <w:highlight w:val="none"/>
              </w:rPr>
            </w:pPr>
            <w:r>
              <w:rPr>
                <w:rFonts w:hint="eastAsia" w:ascii="宋体" w:hAnsi="宋体" w:cs="宋体"/>
                <w:sz w:val="18"/>
                <w:szCs w:val="18"/>
                <w:highlight w:val="none"/>
              </w:rPr>
              <w:t>全年执行数</w:t>
            </w:r>
          </w:p>
        </w:tc>
        <w:tc>
          <w:tcPr>
            <w:tcW w:w="791" w:type="dxa"/>
            <w:gridSpan w:val="2"/>
            <w:tcBorders>
              <w:top w:val="nil"/>
              <w:left w:val="nil"/>
              <w:bottom w:val="single" w:color="auto" w:sz="4" w:space="0"/>
              <w:right w:val="single" w:color="auto" w:sz="4" w:space="0"/>
            </w:tcBorders>
            <w:vAlign w:val="center"/>
          </w:tcPr>
          <w:p w14:paraId="2CE34423">
            <w:pPr>
              <w:spacing w:line="240" w:lineRule="exact"/>
              <w:jc w:val="center"/>
              <w:rPr>
                <w:rFonts w:ascii="宋体" w:hAnsi="宋体" w:cs="宋体"/>
                <w:sz w:val="18"/>
                <w:szCs w:val="18"/>
                <w:highlight w:val="none"/>
              </w:rPr>
            </w:pPr>
            <w:r>
              <w:rPr>
                <w:rFonts w:hint="eastAsia" w:ascii="宋体" w:hAnsi="宋体" w:cs="宋体"/>
                <w:sz w:val="18"/>
                <w:szCs w:val="18"/>
                <w:highlight w:val="none"/>
              </w:rPr>
              <w:t>分值</w:t>
            </w:r>
          </w:p>
        </w:tc>
        <w:tc>
          <w:tcPr>
            <w:tcW w:w="1159" w:type="dxa"/>
            <w:gridSpan w:val="2"/>
            <w:tcBorders>
              <w:top w:val="single" w:color="auto" w:sz="4" w:space="0"/>
              <w:left w:val="nil"/>
              <w:bottom w:val="single" w:color="auto" w:sz="4" w:space="0"/>
              <w:right w:val="single" w:color="auto" w:sz="4" w:space="0"/>
            </w:tcBorders>
            <w:vAlign w:val="center"/>
          </w:tcPr>
          <w:p w14:paraId="5585B67C">
            <w:pPr>
              <w:spacing w:line="240" w:lineRule="exact"/>
              <w:jc w:val="center"/>
              <w:rPr>
                <w:rFonts w:ascii="宋体" w:hAnsi="宋体" w:cs="宋体"/>
                <w:sz w:val="18"/>
                <w:szCs w:val="18"/>
                <w:highlight w:val="none"/>
              </w:rPr>
            </w:pPr>
            <w:r>
              <w:rPr>
                <w:rFonts w:hint="eastAsia" w:ascii="宋体" w:hAnsi="宋体" w:cs="宋体"/>
                <w:sz w:val="18"/>
                <w:szCs w:val="18"/>
                <w:highlight w:val="none"/>
              </w:rPr>
              <w:t>执行率</w:t>
            </w:r>
          </w:p>
        </w:tc>
        <w:tc>
          <w:tcPr>
            <w:tcW w:w="699" w:type="dxa"/>
            <w:tcBorders>
              <w:top w:val="nil"/>
              <w:left w:val="nil"/>
              <w:bottom w:val="single" w:color="auto" w:sz="4" w:space="0"/>
              <w:right w:val="single" w:color="auto" w:sz="4" w:space="0"/>
            </w:tcBorders>
            <w:vAlign w:val="center"/>
          </w:tcPr>
          <w:p w14:paraId="5C40A0E0">
            <w:pPr>
              <w:spacing w:line="240" w:lineRule="exact"/>
              <w:jc w:val="center"/>
              <w:rPr>
                <w:rFonts w:ascii="宋体" w:hAnsi="宋体" w:cs="宋体"/>
                <w:sz w:val="18"/>
                <w:szCs w:val="18"/>
                <w:highlight w:val="none"/>
              </w:rPr>
            </w:pPr>
            <w:r>
              <w:rPr>
                <w:rFonts w:hint="eastAsia" w:ascii="宋体" w:hAnsi="宋体" w:cs="宋体"/>
                <w:sz w:val="18"/>
                <w:szCs w:val="18"/>
                <w:highlight w:val="none"/>
              </w:rPr>
              <w:t>得分</w:t>
            </w:r>
          </w:p>
        </w:tc>
      </w:tr>
      <w:tr w14:paraId="753059A8">
        <w:tblPrEx>
          <w:tblCellMar>
            <w:top w:w="0" w:type="dxa"/>
            <w:left w:w="108" w:type="dxa"/>
            <w:bottom w:w="0" w:type="dxa"/>
            <w:right w:w="108" w:type="dxa"/>
          </w:tblCellMar>
        </w:tblPrEx>
        <w:trPr>
          <w:trHeight w:val="284" w:hRule="exact"/>
          <w:jc w:val="center"/>
        </w:trPr>
        <w:tc>
          <w:tcPr>
            <w:tcW w:w="1442" w:type="dxa"/>
            <w:gridSpan w:val="2"/>
            <w:vMerge w:val="continue"/>
            <w:tcBorders>
              <w:top w:val="single" w:color="auto" w:sz="4" w:space="0"/>
              <w:left w:val="single" w:color="auto" w:sz="4" w:space="0"/>
              <w:bottom w:val="single" w:color="auto" w:sz="4" w:space="0"/>
              <w:right w:val="single" w:color="auto" w:sz="4" w:space="0"/>
            </w:tcBorders>
            <w:vAlign w:val="center"/>
          </w:tcPr>
          <w:p w14:paraId="0734AD8A">
            <w:pPr>
              <w:spacing w:line="240" w:lineRule="exact"/>
              <w:rPr>
                <w:rFonts w:ascii="宋体" w:hAnsi="宋体" w:cs="宋体"/>
                <w:sz w:val="18"/>
                <w:szCs w:val="18"/>
                <w:highlight w:val="none"/>
              </w:rPr>
            </w:pPr>
          </w:p>
        </w:tc>
        <w:tc>
          <w:tcPr>
            <w:tcW w:w="1660" w:type="dxa"/>
            <w:gridSpan w:val="2"/>
            <w:tcBorders>
              <w:top w:val="single" w:color="auto" w:sz="4" w:space="0"/>
              <w:left w:val="nil"/>
              <w:bottom w:val="single" w:color="auto" w:sz="4" w:space="0"/>
              <w:right w:val="single" w:color="auto" w:sz="4" w:space="0"/>
            </w:tcBorders>
            <w:vAlign w:val="center"/>
          </w:tcPr>
          <w:p w14:paraId="35311E8C">
            <w:pPr>
              <w:spacing w:line="240" w:lineRule="exact"/>
              <w:rPr>
                <w:rFonts w:ascii="宋体" w:hAnsi="宋体" w:cs="宋体"/>
                <w:sz w:val="18"/>
                <w:szCs w:val="18"/>
                <w:highlight w:val="none"/>
              </w:rPr>
            </w:pPr>
            <w:r>
              <w:rPr>
                <w:rFonts w:hint="eastAsia" w:ascii="宋体" w:hAnsi="宋体" w:cs="宋体"/>
                <w:sz w:val="18"/>
                <w:szCs w:val="18"/>
                <w:highlight w:val="none"/>
              </w:rPr>
              <w:t>年度资金总额</w:t>
            </w:r>
          </w:p>
        </w:tc>
        <w:tc>
          <w:tcPr>
            <w:tcW w:w="1029" w:type="dxa"/>
            <w:gridSpan w:val="2"/>
            <w:tcBorders>
              <w:top w:val="nil"/>
              <w:left w:val="nil"/>
              <w:bottom w:val="single" w:color="auto" w:sz="4" w:space="0"/>
              <w:right w:val="single" w:color="auto" w:sz="4" w:space="0"/>
            </w:tcBorders>
            <w:vAlign w:val="center"/>
          </w:tcPr>
          <w:p w14:paraId="2932AB1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14:paraId="1296F8A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14:paraId="4367859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91" w:type="dxa"/>
            <w:gridSpan w:val="2"/>
            <w:tcBorders>
              <w:top w:val="nil"/>
              <w:left w:val="nil"/>
              <w:bottom w:val="single" w:color="auto" w:sz="4" w:space="0"/>
              <w:right w:val="single" w:color="auto" w:sz="4" w:space="0"/>
            </w:tcBorders>
            <w:vAlign w:val="center"/>
          </w:tcPr>
          <w:p w14:paraId="77ECE18C">
            <w:pPr>
              <w:spacing w:line="240" w:lineRule="exact"/>
              <w:jc w:val="center"/>
              <w:rPr>
                <w:rFonts w:ascii="宋体" w:hAnsi="宋体" w:cs="宋体"/>
                <w:sz w:val="18"/>
                <w:szCs w:val="18"/>
                <w:highlight w:val="none"/>
              </w:rPr>
            </w:pPr>
            <w:r>
              <w:rPr>
                <w:rFonts w:hint="eastAsia" w:ascii="宋体" w:hAnsi="宋体" w:cs="宋体"/>
                <w:sz w:val="18"/>
                <w:szCs w:val="18"/>
                <w:highlight w:val="none"/>
              </w:rPr>
              <w:t>10</w:t>
            </w:r>
          </w:p>
        </w:tc>
        <w:tc>
          <w:tcPr>
            <w:tcW w:w="1159" w:type="dxa"/>
            <w:gridSpan w:val="2"/>
            <w:tcBorders>
              <w:top w:val="single" w:color="auto" w:sz="4" w:space="0"/>
              <w:left w:val="nil"/>
              <w:bottom w:val="single" w:color="auto" w:sz="4" w:space="0"/>
              <w:right w:val="single" w:color="auto" w:sz="4" w:space="0"/>
            </w:tcBorders>
            <w:vAlign w:val="center"/>
          </w:tcPr>
          <w:p w14:paraId="2152ACB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99" w:type="dxa"/>
            <w:tcBorders>
              <w:top w:val="nil"/>
              <w:left w:val="nil"/>
              <w:bottom w:val="single" w:color="auto" w:sz="4" w:space="0"/>
              <w:right w:val="single" w:color="auto" w:sz="4" w:space="0"/>
            </w:tcBorders>
            <w:vAlign w:val="center"/>
          </w:tcPr>
          <w:p w14:paraId="0D069F7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19605A1D">
        <w:tblPrEx>
          <w:tblCellMar>
            <w:top w:w="0" w:type="dxa"/>
            <w:left w:w="108" w:type="dxa"/>
            <w:bottom w:w="0" w:type="dxa"/>
            <w:right w:w="108" w:type="dxa"/>
          </w:tblCellMar>
        </w:tblPrEx>
        <w:trPr>
          <w:trHeight w:val="284" w:hRule="exact"/>
          <w:jc w:val="center"/>
        </w:trPr>
        <w:tc>
          <w:tcPr>
            <w:tcW w:w="1442" w:type="dxa"/>
            <w:gridSpan w:val="2"/>
            <w:vMerge w:val="continue"/>
            <w:tcBorders>
              <w:top w:val="single" w:color="auto" w:sz="4" w:space="0"/>
              <w:left w:val="single" w:color="auto" w:sz="4" w:space="0"/>
              <w:bottom w:val="single" w:color="auto" w:sz="4" w:space="0"/>
              <w:right w:val="single" w:color="auto" w:sz="4" w:space="0"/>
            </w:tcBorders>
            <w:vAlign w:val="center"/>
          </w:tcPr>
          <w:p w14:paraId="0C3D3451">
            <w:pPr>
              <w:spacing w:line="240" w:lineRule="exact"/>
              <w:rPr>
                <w:rFonts w:ascii="宋体" w:hAnsi="宋体" w:cs="宋体"/>
                <w:sz w:val="18"/>
                <w:szCs w:val="18"/>
                <w:highlight w:val="none"/>
              </w:rPr>
            </w:pPr>
          </w:p>
        </w:tc>
        <w:tc>
          <w:tcPr>
            <w:tcW w:w="1660" w:type="dxa"/>
            <w:gridSpan w:val="2"/>
            <w:tcBorders>
              <w:top w:val="single" w:color="auto" w:sz="4" w:space="0"/>
              <w:left w:val="nil"/>
              <w:bottom w:val="single" w:color="auto" w:sz="4" w:space="0"/>
              <w:right w:val="single" w:color="auto" w:sz="4" w:space="0"/>
            </w:tcBorders>
            <w:vAlign w:val="center"/>
          </w:tcPr>
          <w:p w14:paraId="091F160F">
            <w:pPr>
              <w:spacing w:line="240" w:lineRule="exact"/>
              <w:jc w:val="center"/>
              <w:rPr>
                <w:rFonts w:ascii="宋体" w:hAnsi="宋体" w:cs="宋体"/>
                <w:sz w:val="18"/>
                <w:szCs w:val="18"/>
                <w:highlight w:val="none"/>
              </w:rPr>
            </w:pPr>
            <w:r>
              <w:rPr>
                <w:rFonts w:hint="eastAsia" w:ascii="宋体" w:hAnsi="宋体" w:cs="宋体"/>
                <w:sz w:val="18"/>
                <w:szCs w:val="18"/>
                <w:highlight w:val="none"/>
              </w:rPr>
              <w:t>其中：财政拨款</w:t>
            </w:r>
          </w:p>
        </w:tc>
        <w:tc>
          <w:tcPr>
            <w:tcW w:w="1029" w:type="dxa"/>
            <w:gridSpan w:val="2"/>
            <w:tcBorders>
              <w:top w:val="nil"/>
              <w:left w:val="nil"/>
              <w:bottom w:val="single" w:color="auto" w:sz="4" w:space="0"/>
              <w:right w:val="single" w:color="auto" w:sz="4" w:space="0"/>
            </w:tcBorders>
            <w:vAlign w:val="center"/>
          </w:tcPr>
          <w:p w14:paraId="745AA9BC">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14:paraId="2899A2E8">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14:paraId="2FC1F37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91" w:type="dxa"/>
            <w:gridSpan w:val="2"/>
            <w:tcBorders>
              <w:top w:val="nil"/>
              <w:left w:val="nil"/>
              <w:bottom w:val="single" w:color="auto" w:sz="4" w:space="0"/>
              <w:right w:val="single" w:color="auto" w:sz="4" w:space="0"/>
            </w:tcBorders>
            <w:vAlign w:val="center"/>
          </w:tcPr>
          <w:p w14:paraId="180AECC7">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c>
          <w:tcPr>
            <w:tcW w:w="1159" w:type="dxa"/>
            <w:gridSpan w:val="2"/>
            <w:tcBorders>
              <w:top w:val="single" w:color="auto" w:sz="4" w:space="0"/>
              <w:left w:val="nil"/>
              <w:bottom w:val="single" w:color="auto" w:sz="4" w:space="0"/>
              <w:right w:val="single" w:color="auto" w:sz="4" w:space="0"/>
            </w:tcBorders>
            <w:vAlign w:val="center"/>
          </w:tcPr>
          <w:p w14:paraId="63C3202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99" w:type="dxa"/>
            <w:tcBorders>
              <w:top w:val="nil"/>
              <w:left w:val="nil"/>
              <w:bottom w:val="single" w:color="auto" w:sz="4" w:space="0"/>
              <w:right w:val="single" w:color="auto" w:sz="4" w:space="0"/>
            </w:tcBorders>
            <w:vAlign w:val="center"/>
          </w:tcPr>
          <w:p w14:paraId="06D5E7BC">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r>
      <w:tr w14:paraId="16A7342C">
        <w:tblPrEx>
          <w:tblCellMar>
            <w:top w:w="0" w:type="dxa"/>
            <w:left w:w="108" w:type="dxa"/>
            <w:bottom w:w="0" w:type="dxa"/>
            <w:right w:w="108" w:type="dxa"/>
          </w:tblCellMar>
        </w:tblPrEx>
        <w:trPr>
          <w:trHeight w:val="284" w:hRule="exact"/>
          <w:jc w:val="center"/>
        </w:trPr>
        <w:tc>
          <w:tcPr>
            <w:tcW w:w="1442" w:type="dxa"/>
            <w:gridSpan w:val="2"/>
            <w:vMerge w:val="continue"/>
            <w:tcBorders>
              <w:top w:val="single" w:color="auto" w:sz="4" w:space="0"/>
              <w:left w:val="single" w:color="auto" w:sz="4" w:space="0"/>
              <w:bottom w:val="single" w:color="auto" w:sz="4" w:space="0"/>
              <w:right w:val="single" w:color="auto" w:sz="4" w:space="0"/>
            </w:tcBorders>
            <w:vAlign w:val="center"/>
          </w:tcPr>
          <w:p w14:paraId="0F9E51B3">
            <w:pPr>
              <w:spacing w:line="240" w:lineRule="exact"/>
              <w:rPr>
                <w:rFonts w:ascii="宋体" w:hAnsi="宋体" w:cs="宋体"/>
                <w:sz w:val="18"/>
                <w:szCs w:val="18"/>
                <w:highlight w:val="none"/>
              </w:rPr>
            </w:pPr>
          </w:p>
        </w:tc>
        <w:tc>
          <w:tcPr>
            <w:tcW w:w="1660" w:type="dxa"/>
            <w:gridSpan w:val="2"/>
            <w:tcBorders>
              <w:top w:val="single" w:color="auto" w:sz="4" w:space="0"/>
              <w:left w:val="nil"/>
              <w:bottom w:val="single" w:color="auto" w:sz="4" w:space="0"/>
              <w:right w:val="single" w:color="auto" w:sz="4" w:space="0"/>
            </w:tcBorders>
            <w:vAlign w:val="center"/>
          </w:tcPr>
          <w:p w14:paraId="786D83A4">
            <w:pPr>
              <w:spacing w:line="240" w:lineRule="exact"/>
              <w:jc w:val="center"/>
              <w:rPr>
                <w:rFonts w:ascii="宋体" w:hAnsi="宋体" w:cs="宋体"/>
                <w:sz w:val="18"/>
                <w:szCs w:val="18"/>
                <w:highlight w:val="none"/>
              </w:rPr>
            </w:pPr>
            <w:r>
              <w:rPr>
                <w:rFonts w:hint="eastAsia" w:ascii="宋体" w:hAnsi="宋体" w:cs="宋体"/>
                <w:sz w:val="18"/>
                <w:szCs w:val="18"/>
                <w:highlight w:val="none"/>
              </w:rPr>
              <w:t xml:space="preserve">     其他资金</w:t>
            </w:r>
          </w:p>
        </w:tc>
        <w:tc>
          <w:tcPr>
            <w:tcW w:w="1029" w:type="dxa"/>
            <w:gridSpan w:val="2"/>
            <w:tcBorders>
              <w:top w:val="nil"/>
              <w:left w:val="nil"/>
              <w:bottom w:val="single" w:color="auto" w:sz="4" w:space="0"/>
              <w:right w:val="single" w:color="auto" w:sz="4" w:space="0"/>
            </w:tcBorders>
            <w:vAlign w:val="center"/>
          </w:tcPr>
          <w:p w14:paraId="2264033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29" w:type="dxa"/>
            <w:gridSpan w:val="2"/>
            <w:tcBorders>
              <w:top w:val="nil"/>
              <w:left w:val="nil"/>
              <w:bottom w:val="single" w:color="auto" w:sz="4" w:space="0"/>
              <w:right w:val="single" w:color="auto" w:sz="4" w:space="0"/>
            </w:tcBorders>
            <w:vAlign w:val="center"/>
          </w:tcPr>
          <w:p w14:paraId="1925095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036" w:type="dxa"/>
            <w:gridSpan w:val="2"/>
            <w:tcBorders>
              <w:top w:val="nil"/>
              <w:left w:val="nil"/>
              <w:bottom w:val="single" w:color="auto" w:sz="4" w:space="0"/>
              <w:right w:val="single" w:color="auto" w:sz="4" w:space="0"/>
            </w:tcBorders>
            <w:vAlign w:val="center"/>
          </w:tcPr>
          <w:p w14:paraId="769D1FDC">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91" w:type="dxa"/>
            <w:gridSpan w:val="2"/>
            <w:tcBorders>
              <w:top w:val="nil"/>
              <w:left w:val="nil"/>
              <w:bottom w:val="single" w:color="auto" w:sz="4" w:space="0"/>
              <w:right w:val="single" w:color="auto" w:sz="4" w:space="0"/>
            </w:tcBorders>
            <w:vAlign w:val="center"/>
          </w:tcPr>
          <w:p w14:paraId="11925DE1">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c>
          <w:tcPr>
            <w:tcW w:w="1159" w:type="dxa"/>
            <w:gridSpan w:val="2"/>
            <w:tcBorders>
              <w:top w:val="single" w:color="auto" w:sz="4" w:space="0"/>
              <w:left w:val="nil"/>
              <w:bottom w:val="single" w:color="auto" w:sz="4" w:space="0"/>
              <w:right w:val="single" w:color="auto" w:sz="4" w:space="0"/>
            </w:tcBorders>
            <w:vAlign w:val="center"/>
          </w:tcPr>
          <w:p w14:paraId="75D3349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99" w:type="dxa"/>
            <w:tcBorders>
              <w:top w:val="nil"/>
              <w:left w:val="nil"/>
              <w:bottom w:val="single" w:color="auto" w:sz="4" w:space="0"/>
              <w:right w:val="single" w:color="auto" w:sz="4" w:space="0"/>
            </w:tcBorders>
            <w:vAlign w:val="center"/>
          </w:tcPr>
          <w:p w14:paraId="6A81D526">
            <w:pPr>
              <w:spacing w:line="240" w:lineRule="exact"/>
              <w:jc w:val="center"/>
              <w:rPr>
                <w:rFonts w:ascii="宋体" w:hAnsi="宋体" w:cs="宋体"/>
                <w:sz w:val="18"/>
                <w:szCs w:val="18"/>
                <w:highlight w:val="none"/>
              </w:rPr>
            </w:pPr>
            <w:r>
              <w:rPr>
                <w:rFonts w:hint="eastAsia" w:ascii="宋体" w:hAnsi="宋体" w:cs="宋体"/>
                <w:sz w:val="18"/>
                <w:szCs w:val="18"/>
                <w:highlight w:val="none"/>
              </w:rPr>
              <w:t>—</w:t>
            </w:r>
          </w:p>
        </w:tc>
      </w:tr>
      <w:tr w14:paraId="5DFBF533">
        <w:tblPrEx>
          <w:tblCellMar>
            <w:top w:w="0" w:type="dxa"/>
            <w:left w:w="108" w:type="dxa"/>
            <w:bottom w:w="0" w:type="dxa"/>
            <w:right w:w="108" w:type="dxa"/>
          </w:tblCellMar>
        </w:tblPrEx>
        <w:trPr>
          <w:trHeight w:val="284" w:hRule="exact"/>
          <w:jc w:val="center"/>
        </w:trPr>
        <w:tc>
          <w:tcPr>
            <w:tcW w:w="844" w:type="dxa"/>
            <w:vMerge w:val="restart"/>
            <w:tcBorders>
              <w:top w:val="nil"/>
              <w:left w:val="single" w:color="auto" w:sz="4" w:space="0"/>
              <w:bottom w:val="single" w:color="auto" w:sz="4" w:space="0"/>
              <w:right w:val="single" w:color="auto" w:sz="4" w:space="0"/>
            </w:tcBorders>
            <w:vAlign w:val="center"/>
          </w:tcPr>
          <w:p w14:paraId="775623CE">
            <w:pPr>
              <w:spacing w:line="240" w:lineRule="exact"/>
              <w:jc w:val="center"/>
              <w:rPr>
                <w:rFonts w:ascii="宋体" w:hAnsi="宋体" w:cs="宋体"/>
                <w:sz w:val="18"/>
                <w:szCs w:val="18"/>
                <w:highlight w:val="none"/>
              </w:rPr>
            </w:pPr>
            <w:r>
              <w:rPr>
                <w:rFonts w:hint="eastAsia" w:ascii="宋体" w:hAnsi="宋体" w:cs="宋体"/>
                <w:sz w:val="18"/>
                <w:szCs w:val="18"/>
                <w:highlight w:val="none"/>
              </w:rPr>
              <w:t>年度总体目标</w:t>
            </w:r>
          </w:p>
        </w:tc>
        <w:tc>
          <w:tcPr>
            <w:tcW w:w="4316" w:type="dxa"/>
            <w:gridSpan w:val="7"/>
            <w:tcBorders>
              <w:top w:val="single" w:color="auto" w:sz="4" w:space="0"/>
              <w:left w:val="nil"/>
              <w:bottom w:val="single" w:color="auto" w:sz="4" w:space="0"/>
              <w:right w:val="single" w:color="auto" w:sz="4" w:space="0"/>
            </w:tcBorders>
            <w:vAlign w:val="center"/>
          </w:tcPr>
          <w:p w14:paraId="3D103862">
            <w:pPr>
              <w:spacing w:line="240" w:lineRule="exact"/>
              <w:jc w:val="center"/>
              <w:rPr>
                <w:rFonts w:ascii="宋体" w:hAnsi="宋体" w:cs="宋体"/>
                <w:sz w:val="18"/>
                <w:szCs w:val="18"/>
                <w:highlight w:val="none"/>
              </w:rPr>
            </w:pPr>
            <w:r>
              <w:rPr>
                <w:rFonts w:hint="eastAsia" w:ascii="宋体" w:hAnsi="宋体" w:cs="宋体"/>
                <w:sz w:val="18"/>
                <w:szCs w:val="18"/>
                <w:highlight w:val="none"/>
              </w:rPr>
              <w:t>预期目标</w:t>
            </w:r>
          </w:p>
        </w:tc>
        <w:tc>
          <w:tcPr>
            <w:tcW w:w="3685" w:type="dxa"/>
            <w:gridSpan w:val="7"/>
            <w:tcBorders>
              <w:top w:val="single" w:color="auto" w:sz="4" w:space="0"/>
              <w:left w:val="nil"/>
              <w:bottom w:val="single" w:color="auto" w:sz="4" w:space="0"/>
              <w:right w:val="single" w:color="auto" w:sz="4" w:space="0"/>
            </w:tcBorders>
            <w:vAlign w:val="center"/>
          </w:tcPr>
          <w:p w14:paraId="261F422E">
            <w:pPr>
              <w:spacing w:line="240" w:lineRule="exact"/>
              <w:jc w:val="center"/>
              <w:rPr>
                <w:rFonts w:ascii="宋体" w:hAnsi="宋体" w:cs="宋体"/>
                <w:sz w:val="18"/>
                <w:szCs w:val="18"/>
                <w:highlight w:val="none"/>
              </w:rPr>
            </w:pPr>
            <w:r>
              <w:rPr>
                <w:rFonts w:hint="eastAsia" w:ascii="宋体" w:hAnsi="宋体" w:cs="宋体"/>
                <w:sz w:val="18"/>
                <w:szCs w:val="18"/>
                <w:highlight w:val="none"/>
              </w:rPr>
              <w:t>实际完成情况</w:t>
            </w:r>
          </w:p>
        </w:tc>
      </w:tr>
      <w:tr w14:paraId="37D20F4D">
        <w:tblPrEx>
          <w:tblCellMar>
            <w:top w:w="0" w:type="dxa"/>
            <w:left w:w="108" w:type="dxa"/>
            <w:bottom w:w="0" w:type="dxa"/>
            <w:right w:w="108" w:type="dxa"/>
          </w:tblCellMar>
        </w:tblPrEx>
        <w:trPr>
          <w:trHeight w:val="213" w:hRule="atLeast"/>
          <w:jc w:val="center"/>
        </w:trPr>
        <w:tc>
          <w:tcPr>
            <w:tcW w:w="844" w:type="dxa"/>
            <w:vMerge w:val="continue"/>
            <w:tcBorders>
              <w:top w:val="nil"/>
              <w:left w:val="single" w:color="auto" w:sz="4" w:space="0"/>
              <w:bottom w:val="single" w:color="auto" w:sz="4" w:space="0"/>
              <w:right w:val="single" w:color="auto" w:sz="4" w:space="0"/>
            </w:tcBorders>
            <w:vAlign w:val="center"/>
          </w:tcPr>
          <w:p w14:paraId="2A0D74BC">
            <w:pPr>
              <w:spacing w:line="240" w:lineRule="exact"/>
              <w:rPr>
                <w:rFonts w:ascii="宋体" w:hAnsi="宋体" w:cs="宋体"/>
                <w:sz w:val="18"/>
                <w:szCs w:val="18"/>
                <w:highlight w:val="none"/>
              </w:rPr>
            </w:pPr>
          </w:p>
        </w:tc>
        <w:tc>
          <w:tcPr>
            <w:tcW w:w="4316" w:type="dxa"/>
            <w:gridSpan w:val="7"/>
            <w:tcBorders>
              <w:top w:val="single" w:color="auto" w:sz="4" w:space="0"/>
              <w:left w:val="nil"/>
              <w:bottom w:val="single" w:color="auto" w:sz="4" w:space="0"/>
              <w:right w:val="single" w:color="auto" w:sz="4" w:space="0"/>
            </w:tcBorders>
            <w:vAlign w:val="center"/>
          </w:tcPr>
          <w:p w14:paraId="5159B07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3685" w:type="dxa"/>
            <w:gridSpan w:val="7"/>
            <w:tcBorders>
              <w:top w:val="single" w:color="auto" w:sz="4" w:space="0"/>
              <w:left w:val="nil"/>
              <w:bottom w:val="single" w:color="auto" w:sz="4" w:space="0"/>
              <w:right w:val="single" w:color="auto" w:sz="4" w:space="0"/>
            </w:tcBorders>
            <w:vAlign w:val="center"/>
          </w:tcPr>
          <w:p w14:paraId="51B870C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41ABC4A9">
        <w:tblPrEx>
          <w:tblCellMar>
            <w:top w:w="0" w:type="dxa"/>
            <w:left w:w="108" w:type="dxa"/>
            <w:bottom w:w="0" w:type="dxa"/>
            <w:right w:w="108" w:type="dxa"/>
          </w:tblCellMar>
        </w:tblPrEx>
        <w:trPr>
          <w:cantSplit/>
          <w:trHeight w:val="505" w:hRule="atLeast"/>
          <w:jc w:val="center"/>
        </w:trPr>
        <w:tc>
          <w:tcPr>
            <w:tcW w:w="844" w:type="dxa"/>
            <w:vMerge w:val="restart"/>
            <w:tcBorders>
              <w:top w:val="nil"/>
              <w:left w:val="single" w:color="auto" w:sz="4" w:space="0"/>
              <w:bottom w:val="single" w:color="auto" w:sz="4" w:space="0"/>
              <w:right w:val="single" w:color="auto" w:sz="4" w:space="0"/>
            </w:tcBorders>
            <w:vAlign w:val="center"/>
          </w:tcPr>
          <w:p w14:paraId="2B2221B7">
            <w:pPr>
              <w:spacing w:line="280" w:lineRule="exact"/>
              <w:jc w:val="center"/>
              <w:rPr>
                <w:rFonts w:ascii="宋体" w:hAnsi="宋体" w:cs="宋体"/>
                <w:sz w:val="18"/>
                <w:szCs w:val="18"/>
                <w:highlight w:val="none"/>
              </w:rPr>
            </w:pPr>
            <w:r>
              <w:rPr>
                <w:rFonts w:hint="eastAsia" w:ascii="宋体" w:hAnsi="宋体" w:cs="宋体"/>
                <w:sz w:val="18"/>
                <w:szCs w:val="18"/>
                <w:highlight w:val="none"/>
              </w:rPr>
              <w:t>绩  效  指  标（90）</w:t>
            </w:r>
          </w:p>
        </w:tc>
        <w:tc>
          <w:tcPr>
            <w:tcW w:w="960" w:type="dxa"/>
            <w:gridSpan w:val="2"/>
            <w:tcBorders>
              <w:top w:val="nil"/>
              <w:left w:val="nil"/>
              <w:bottom w:val="single" w:color="auto" w:sz="4" w:space="0"/>
              <w:right w:val="single" w:color="auto" w:sz="4" w:space="0"/>
            </w:tcBorders>
            <w:vAlign w:val="center"/>
          </w:tcPr>
          <w:p w14:paraId="77AAA760">
            <w:pPr>
              <w:spacing w:line="220" w:lineRule="exact"/>
              <w:jc w:val="center"/>
              <w:rPr>
                <w:rFonts w:ascii="宋体" w:hAnsi="宋体" w:cs="宋体"/>
                <w:sz w:val="18"/>
                <w:szCs w:val="18"/>
                <w:highlight w:val="none"/>
              </w:rPr>
            </w:pPr>
            <w:r>
              <w:rPr>
                <w:rFonts w:hint="eastAsia" w:ascii="宋体" w:hAnsi="宋体" w:cs="宋体"/>
                <w:sz w:val="18"/>
                <w:szCs w:val="18"/>
                <w:highlight w:val="none"/>
              </w:rPr>
              <w:t>一级指标</w:t>
            </w:r>
          </w:p>
        </w:tc>
        <w:tc>
          <w:tcPr>
            <w:tcW w:w="1320" w:type="dxa"/>
            <w:gridSpan w:val="2"/>
            <w:tcBorders>
              <w:top w:val="nil"/>
              <w:left w:val="nil"/>
              <w:bottom w:val="single" w:color="auto" w:sz="4" w:space="0"/>
              <w:right w:val="single" w:color="auto" w:sz="4" w:space="0"/>
            </w:tcBorders>
            <w:vAlign w:val="center"/>
          </w:tcPr>
          <w:p w14:paraId="15057360">
            <w:pPr>
              <w:spacing w:line="220" w:lineRule="exact"/>
              <w:jc w:val="center"/>
              <w:rPr>
                <w:rFonts w:ascii="宋体" w:hAnsi="宋体" w:cs="宋体"/>
                <w:sz w:val="18"/>
                <w:szCs w:val="18"/>
                <w:highlight w:val="none"/>
              </w:rPr>
            </w:pPr>
            <w:r>
              <w:rPr>
                <w:rFonts w:hint="eastAsia" w:ascii="宋体" w:hAnsi="宋体" w:cs="宋体"/>
                <w:sz w:val="18"/>
                <w:szCs w:val="18"/>
                <w:highlight w:val="none"/>
              </w:rPr>
              <w:t>二级指标</w:t>
            </w:r>
          </w:p>
        </w:tc>
        <w:tc>
          <w:tcPr>
            <w:tcW w:w="1258" w:type="dxa"/>
            <w:gridSpan w:val="2"/>
            <w:tcBorders>
              <w:top w:val="single" w:color="auto" w:sz="4" w:space="0"/>
              <w:left w:val="nil"/>
              <w:bottom w:val="single" w:color="auto" w:sz="4" w:space="0"/>
              <w:right w:val="single" w:color="auto" w:sz="4" w:space="0"/>
            </w:tcBorders>
            <w:vAlign w:val="center"/>
          </w:tcPr>
          <w:p w14:paraId="7BE8DF60">
            <w:pPr>
              <w:spacing w:line="220" w:lineRule="exact"/>
              <w:jc w:val="center"/>
              <w:rPr>
                <w:rFonts w:ascii="宋体" w:hAnsi="宋体" w:cs="宋体"/>
                <w:sz w:val="18"/>
                <w:szCs w:val="18"/>
                <w:highlight w:val="none"/>
              </w:rPr>
            </w:pPr>
            <w:r>
              <w:rPr>
                <w:rFonts w:hint="eastAsia" w:ascii="宋体" w:hAnsi="宋体" w:cs="宋体"/>
                <w:sz w:val="18"/>
                <w:szCs w:val="18"/>
                <w:highlight w:val="none"/>
              </w:rPr>
              <w:t>三级指标</w:t>
            </w:r>
          </w:p>
        </w:tc>
        <w:tc>
          <w:tcPr>
            <w:tcW w:w="778" w:type="dxa"/>
            <w:tcBorders>
              <w:top w:val="nil"/>
              <w:left w:val="nil"/>
              <w:bottom w:val="single" w:color="auto" w:sz="4" w:space="0"/>
              <w:right w:val="single" w:color="auto" w:sz="4" w:space="0"/>
            </w:tcBorders>
            <w:vAlign w:val="center"/>
          </w:tcPr>
          <w:p w14:paraId="43F2E539">
            <w:pPr>
              <w:spacing w:line="220" w:lineRule="exact"/>
              <w:jc w:val="center"/>
              <w:rPr>
                <w:rFonts w:ascii="宋体" w:hAnsi="宋体" w:cs="宋体"/>
                <w:sz w:val="18"/>
                <w:szCs w:val="18"/>
                <w:highlight w:val="none"/>
              </w:rPr>
            </w:pPr>
            <w:r>
              <w:rPr>
                <w:rFonts w:hint="eastAsia" w:ascii="宋体" w:hAnsi="宋体" w:cs="宋体"/>
                <w:sz w:val="18"/>
                <w:szCs w:val="18"/>
                <w:highlight w:val="none"/>
              </w:rPr>
              <w:t>年度指标值</w:t>
            </w:r>
          </w:p>
        </w:tc>
        <w:tc>
          <w:tcPr>
            <w:tcW w:w="779" w:type="dxa"/>
            <w:tcBorders>
              <w:top w:val="nil"/>
              <w:left w:val="nil"/>
              <w:bottom w:val="single" w:color="auto" w:sz="4" w:space="0"/>
              <w:right w:val="single" w:color="auto" w:sz="4" w:space="0"/>
            </w:tcBorders>
            <w:vAlign w:val="center"/>
          </w:tcPr>
          <w:p w14:paraId="6951B4A7">
            <w:pPr>
              <w:spacing w:line="220" w:lineRule="exact"/>
              <w:jc w:val="center"/>
              <w:rPr>
                <w:rFonts w:ascii="宋体" w:hAnsi="宋体" w:cs="宋体"/>
                <w:sz w:val="18"/>
                <w:szCs w:val="18"/>
                <w:highlight w:val="none"/>
              </w:rPr>
            </w:pPr>
            <w:r>
              <w:rPr>
                <w:rFonts w:hint="eastAsia" w:ascii="宋体" w:hAnsi="宋体" w:cs="宋体"/>
                <w:sz w:val="18"/>
                <w:szCs w:val="18"/>
                <w:highlight w:val="none"/>
              </w:rPr>
              <w:t>实际完成值</w:t>
            </w:r>
          </w:p>
        </w:tc>
        <w:tc>
          <w:tcPr>
            <w:tcW w:w="654" w:type="dxa"/>
            <w:gridSpan w:val="2"/>
            <w:tcBorders>
              <w:top w:val="nil"/>
              <w:left w:val="nil"/>
              <w:bottom w:val="single" w:color="auto" w:sz="4" w:space="0"/>
              <w:right w:val="single" w:color="auto" w:sz="4" w:space="0"/>
            </w:tcBorders>
            <w:vAlign w:val="center"/>
          </w:tcPr>
          <w:p w14:paraId="0B4E995A">
            <w:pPr>
              <w:spacing w:line="220" w:lineRule="exact"/>
              <w:jc w:val="center"/>
              <w:rPr>
                <w:rFonts w:ascii="宋体" w:hAnsi="宋体" w:cs="宋体"/>
                <w:sz w:val="18"/>
                <w:szCs w:val="18"/>
                <w:highlight w:val="none"/>
              </w:rPr>
            </w:pPr>
            <w:r>
              <w:rPr>
                <w:rFonts w:hint="eastAsia" w:ascii="宋体" w:hAnsi="宋体" w:cs="宋体"/>
                <w:sz w:val="18"/>
                <w:szCs w:val="18"/>
                <w:highlight w:val="none"/>
              </w:rPr>
              <w:t>分值</w:t>
            </w:r>
          </w:p>
        </w:tc>
        <w:tc>
          <w:tcPr>
            <w:tcW w:w="630" w:type="dxa"/>
            <w:gridSpan w:val="2"/>
            <w:tcBorders>
              <w:top w:val="nil"/>
              <w:left w:val="nil"/>
              <w:bottom w:val="single" w:color="auto" w:sz="4" w:space="0"/>
              <w:right w:val="single" w:color="auto" w:sz="4" w:space="0"/>
            </w:tcBorders>
            <w:vAlign w:val="center"/>
          </w:tcPr>
          <w:p w14:paraId="7B1AE4E2">
            <w:pPr>
              <w:spacing w:line="220" w:lineRule="exact"/>
              <w:jc w:val="center"/>
              <w:rPr>
                <w:rFonts w:ascii="宋体" w:hAnsi="宋体" w:cs="宋体"/>
                <w:sz w:val="18"/>
                <w:szCs w:val="18"/>
                <w:highlight w:val="none"/>
              </w:rPr>
            </w:pPr>
            <w:r>
              <w:rPr>
                <w:rFonts w:hint="eastAsia" w:ascii="宋体" w:hAnsi="宋体" w:cs="宋体"/>
                <w:sz w:val="18"/>
                <w:szCs w:val="18"/>
                <w:highlight w:val="none"/>
              </w:rPr>
              <w:t>得分</w:t>
            </w:r>
          </w:p>
        </w:tc>
        <w:tc>
          <w:tcPr>
            <w:tcW w:w="1622" w:type="dxa"/>
            <w:gridSpan w:val="2"/>
            <w:tcBorders>
              <w:top w:val="single" w:color="auto" w:sz="4" w:space="0"/>
              <w:left w:val="nil"/>
              <w:bottom w:val="single" w:color="auto" w:sz="4" w:space="0"/>
              <w:right w:val="single" w:color="auto" w:sz="4" w:space="0"/>
            </w:tcBorders>
            <w:vAlign w:val="center"/>
          </w:tcPr>
          <w:p w14:paraId="59379936">
            <w:pPr>
              <w:spacing w:line="220" w:lineRule="exact"/>
              <w:jc w:val="center"/>
              <w:rPr>
                <w:rFonts w:ascii="宋体" w:hAnsi="宋体" w:cs="宋体"/>
                <w:sz w:val="18"/>
                <w:szCs w:val="18"/>
                <w:highlight w:val="none"/>
              </w:rPr>
            </w:pPr>
            <w:r>
              <w:rPr>
                <w:rFonts w:hint="eastAsia" w:ascii="宋体" w:hAnsi="宋体" w:cs="宋体"/>
                <w:sz w:val="18"/>
                <w:szCs w:val="18"/>
                <w:highlight w:val="none"/>
              </w:rPr>
              <w:t>偏差原因分析及改进措施</w:t>
            </w:r>
          </w:p>
        </w:tc>
      </w:tr>
      <w:tr w14:paraId="2B1954E5">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02B5E6AE">
            <w:pPr>
              <w:spacing w:line="280" w:lineRule="exact"/>
              <w:rPr>
                <w:rFonts w:ascii="宋体" w:hAnsi="宋体" w:cs="宋体"/>
                <w:sz w:val="18"/>
                <w:szCs w:val="18"/>
                <w:highlight w:val="none"/>
              </w:rPr>
            </w:pPr>
          </w:p>
        </w:tc>
        <w:tc>
          <w:tcPr>
            <w:tcW w:w="960" w:type="dxa"/>
            <w:gridSpan w:val="2"/>
            <w:vMerge w:val="restart"/>
            <w:tcBorders>
              <w:top w:val="nil"/>
              <w:left w:val="single" w:color="auto" w:sz="4" w:space="0"/>
              <w:bottom w:val="single" w:color="auto" w:sz="4" w:space="0"/>
              <w:right w:val="single" w:color="auto" w:sz="4" w:space="0"/>
            </w:tcBorders>
            <w:vAlign w:val="center"/>
          </w:tcPr>
          <w:p w14:paraId="3F166B3B">
            <w:pPr>
              <w:spacing w:line="240" w:lineRule="exact"/>
              <w:jc w:val="center"/>
              <w:rPr>
                <w:rFonts w:ascii="宋体" w:hAnsi="宋体" w:cs="宋体"/>
                <w:sz w:val="18"/>
                <w:szCs w:val="18"/>
                <w:highlight w:val="none"/>
              </w:rPr>
            </w:pPr>
            <w:r>
              <w:rPr>
                <w:rFonts w:hint="eastAsia" w:ascii="宋体" w:hAnsi="宋体" w:cs="宋体"/>
                <w:sz w:val="18"/>
                <w:szCs w:val="18"/>
                <w:highlight w:val="none"/>
              </w:rPr>
              <w:t>产出指标（50）</w:t>
            </w:r>
          </w:p>
        </w:tc>
        <w:tc>
          <w:tcPr>
            <w:tcW w:w="1320" w:type="dxa"/>
            <w:gridSpan w:val="2"/>
            <w:vMerge w:val="restart"/>
            <w:tcBorders>
              <w:top w:val="nil"/>
              <w:left w:val="single" w:color="auto" w:sz="4" w:space="0"/>
              <w:bottom w:val="single" w:color="auto" w:sz="4" w:space="0"/>
              <w:right w:val="single" w:color="auto" w:sz="4" w:space="0"/>
            </w:tcBorders>
            <w:vAlign w:val="center"/>
          </w:tcPr>
          <w:p w14:paraId="53193162">
            <w:pPr>
              <w:spacing w:line="240" w:lineRule="exact"/>
              <w:jc w:val="center"/>
              <w:rPr>
                <w:rFonts w:ascii="宋体" w:hAnsi="宋体" w:cs="宋体"/>
                <w:sz w:val="18"/>
                <w:szCs w:val="18"/>
                <w:highlight w:val="none"/>
              </w:rPr>
            </w:pPr>
            <w:r>
              <w:rPr>
                <w:rFonts w:hint="eastAsia" w:ascii="宋体" w:hAnsi="宋体" w:cs="宋体"/>
                <w:sz w:val="18"/>
                <w:szCs w:val="18"/>
                <w:highlight w:val="none"/>
              </w:rPr>
              <w:t>数量指标</w:t>
            </w:r>
          </w:p>
        </w:tc>
        <w:tc>
          <w:tcPr>
            <w:tcW w:w="1258" w:type="dxa"/>
            <w:gridSpan w:val="2"/>
            <w:tcBorders>
              <w:top w:val="single" w:color="auto" w:sz="4" w:space="0"/>
              <w:left w:val="nil"/>
              <w:bottom w:val="single" w:color="auto" w:sz="4" w:space="0"/>
              <w:right w:val="single" w:color="auto" w:sz="4" w:space="0"/>
            </w:tcBorders>
            <w:vAlign w:val="center"/>
          </w:tcPr>
          <w:p w14:paraId="007A1073">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52EF9E9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25C8367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145DDB1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12871028">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0A9E0FE8">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7AB5A467">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3EA78A4D">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6F5423E4">
            <w:pPr>
              <w:spacing w:line="240" w:lineRule="exact"/>
              <w:jc w:val="center"/>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248FCDC2">
            <w:pPr>
              <w:spacing w:line="240" w:lineRule="exact"/>
              <w:jc w:val="center"/>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22A283BC">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2FC4FED6">
            <w:pPr>
              <w:spacing w:line="240" w:lineRule="exact"/>
              <w:jc w:val="center"/>
              <w:rPr>
                <w:rFonts w:ascii="宋体" w:hAnsi="宋体" w:cs="宋体"/>
                <w:sz w:val="18"/>
                <w:szCs w:val="18"/>
                <w:highlight w:val="none"/>
              </w:rPr>
            </w:pPr>
          </w:p>
        </w:tc>
        <w:tc>
          <w:tcPr>
            <w:tcW w:w="779" w:type="dxa"/>
            <w:tcBorders>
              <w:top w:val="nil"/>
              <w:left w:val="nil"/>
              <w:bottom w:val="single" w:color="auto" w:sz="4" w:space="0"/>
              <w:right w:val="single" w:color="auto" w:sz="4" w:space="0"/>
            </w:tcBorders>
            <w:vAlign w:val="center"/>
          </w:tcPr>
          <w:p w14:paraId="09D0EC38">
            <w:pPr>
              <w:spacing w:line="240" w:lineRule="exact"/>
              <w:jc w:val="center"/>
              <w:rPr>
                <w:rFonts w:ascii="宋体" w:hAnsi="宋体" w:cs="宋体"/>
                <w:sz w:val="18"/>
                <w:szCs w:val="18"/>
                <w:highlight w:val="none"/>
              </w:rPr>
            </w:pPr>
          </w:p>
        </w:tc>
        <w:tc>
          <w:tcPr>
            <w:tcW w:w="654" w:type="dxa"/>
            <w:gridSpan w:val="2"/>
            <w:tcBorders>
              <w:top w:val="nil"/>
              <w:left w:val="nil"/>
              <w:bottom w:val="single" w:color="auto" w:sz="4" w:space="0"/>
              <w:right w:val="single" w:color="auto" w:sz="4" w:space="0"/>
            </w:tcBorders>
            <w:vAlign w:val="center"/>
          </w:tcPr>
          <w:p w14:paraId="371B585A">
            <w:pPr>
              <w:spacing w:line="240" w:lineRule="exact"/>
              <w:jc w:val="center"/>
              <w:rPr>
                <w:rFonts w:ascii="宋体" w:hAnsi="宋体" w:cs="宋体"/>
                <w:sz w:val="18"/>
                <w:szCs w:val="18"/>
                <w:highlight w:val="none"/>
              </w:rPr>
            </w:pPr>
          </w:p>
        </w:tc>
        <w:tc>
          <w:tcPr>
            <w:tcW w:w="630" w:type="dxa"/>
            <w:gridSpan w:val="2"/>
            <w:tcBorders>
              <w:top w:val="nil"/>
              <w:left w:val="nil"/>
              <w:bottom w:val="single" w:color="auto" w:sz="4" w:space="0"/>
              <w:right w:val="single" w:color="auto" w:sz="4" w:space="0"/>
            </w:tcBorders>
            <w:vAlign w:val="center"/>
          </w:tcPr>
          <w:p w14:paraId="61FEEEC4">
            <w:pPr>
              <w:spacing w:line="240" w:lineRule="exact"/>
              <w:jc w:val="center"/>
              <w:rPr>
                <w:rFonts w:ascii="宋体" w:hAnsi="宋体" w:cs="宋体"/>
                <w:sz w:val="18"/>
                <w:szCs w:val="18"/>
                <w:highlight w:val="none"/>
              </w:rPr>
            </w:pPr>
          </w:p>
        </w:tc>
        <w:tc>
          <w:tcPr>
            <w:tcW w:w="1622" w:type="dxa"/>
            <w:gridSpan w:val="2"/>
            <w:tcBorders>
              <w:top w:val="single" w:color="auto" w:sz="4" w:space="0"/>
              <w:left w:val="nil"/>
              <w:bottom w:val="single" w:color="auto" w:sz="4" w:space="0"/>
              <w:right w:val="single" w:color="auto" w:sz="4" w:space="0"/>
            </w:tcBorders>
            <w:vAlign w:val="center"/>
          </w:tcPr>
          <w:p w14:paraId="3A92A8E2">
            <w:pPr>
              <w:spacing w:line="240" w:lineRule="exact"/>
              <w:jc w:val="center"/>
              <w:rPr>
                <w:rFonts w:ascii="宋体" w:hAnsi="宋体" w:cs="宋体"/>
                <w:sz w:val="18"/>
                <w:szCs w:val="18"/>
                <w:highlight w:val="none"/>
              </w:rPr>
            </w:pPr>
          </w:p>
        </w:tc>
      </w:tr>
      <w:tr w14:paraId="219B6020">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B33581D">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230197F1">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4830B3B0">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2B23C092">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2F60D3BC">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6B0F4BF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0D02B150">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7A96B9E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7589F2D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777BD900">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3972B65B">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313E5A52">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14:paraId="3225B5A7">
            <w:pPr>
              <w:spacing w:line="240" w:lineRule="exact"/>
              <w:jc w:val="center"/>
              <w:rPr>
                <w:rFonts w:ascii="宋体" w:hAnsi="宋体" w:cs="宋体"/>
                <w:sz w:val="18"/>
                <w:szCs w:val="18"/>
                <w:highlight w:val="none"/>
              </w:rPr>
            </w:pPr>
            <w:r>
              <w:rPr>
                <w:rFonts w:hint="eastAsia" w:ascii="宋体" w:hAnsi="宋体" w:cs="宋体"/>
                <w:sz w:val="18"/>
                <w:szCs w:val="18"/>
                <w:highlight w:val="none"/>
              </w:rPr>
              <w:t>质量指标</w:t>
            </w:r>
          </w:p>
        </w:tc>
        <w:tc>
          <w:tcPr>
            <w:tcW w:w="1258" w:type="dxa"/>
            <w:gridSpan w:val="2"/>
            <w:tcBorders>
              <w:top w:val="single" w:color="auto" w:sz="4" w:space="0"/>
              <w:left w:val="nil"/>
              <w:bottom w:val="single" w:color="auto" w:sz="4" w:space="0"/>
              <w:right w:val="single" w:color="auto" w:sz="4" w:space="0"/>
            </w:tcBorders>
            <w:vAlign w:val="center"/>
          </w:tcPr>
          <w:p w14:paraId="69671FC4">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337F166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7ECD5A88">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0A58F4D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1E05921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5E197BB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2DB897AC">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E0DFE1A">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53F910BD">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65280CB1">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2E8CD99B">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6967A17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69DC32A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44ADF20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533648E0">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0BC49B1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14CB46F1">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3F5A655">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7D610A53">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2303A70C">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0E29FEB3">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179A863C">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402A099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18350E4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63AB6E9C">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2091CED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3D3E5861">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0C13DFF9">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5AEBD749">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14:paraId="4DE6C7CA">
            <w:pPr>
              <w:spacing w:line="240" w:lineRule="exact"/>
              <w:jc w:val="center"/>
              <w:rPr>
                <w:rFonts w:ascii="宋体" w:hAnsi="宋体" w:cs="宋体"/>
                <w:sz w:val="18"/>
                <w:szCs w:val="18"/>
                <w:highlight w:val="none"/>
              </w:rPr>
            </w:pPr>
            <w:r>
              <w:rPr>
                <w:rFonts w:hint="eastAsia" w:ascii="宋体" w:hAnsi="宋体" w:cs="宋体"/>
                <w:sz w:val="18"/>
                <w:szCs w:val="18"/>
                <w:highlight w:val="none"/>
              </w:rPr>
              <w:t>时效指标</w:t>
            </w:r>
          </w:p>
        </w:tc>
        <w:tc>
          <w:tcPr>
            <w:tcW w:w="1258" w:type="dxa"/>
            <w:gridSpan w:val="2"/>
            <w:tcBorders>
              <w:top w:val="single" w:color="auto" w:sz="4" w:space="0"/>
              <w:left w:val="nil"/>
              <w:bottom w:val="single" w:color="auto" w:sz="4" w:space="0"/>
              <w:right w:val="single" w:color="auto" w:sz="4" w:space="0"/>
            </w:tcBorders>
            <w:vAlign w:val="center"/>
          </w:tcPr>
          <w:p w14:paraId="74D5F62F">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3DBC95F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677F40E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7D0BC38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078580D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423366B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64E0E2E8">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06AC3BD4">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0D4D383D">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3BE6B863">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585FAF79">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2400FE7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76A7234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0F66D00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06F9F31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56B317D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42514A3F">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72DF0384">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7B654D54">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7E8B7983">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555E262C">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20E805A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677E9A84">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029EC3B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5C62F12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040E05F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57FBB549">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4273BA6">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273AED31">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14:paraId="0DF883C8">
            <w:pPr>
              <w:spacing w:line="240" w:lineRule="exact"/>
              <w:jc w:val="center"/>
              <w:rPr>
                <w:rFonts w:ascii="宋体" w:hAnsi="宋体" w:cs="宋体"/>
                <w:sz w:val="18"/>
                <w:szCs w:val="18"/>
                <w:highlight w:val="none"/>
              </w:rPr>
            </w:pPr>
            <w:r>
              <w:rPr>
                <w:rFonts w:hint="eastAsia" w:ascii="宋体" w:hAnsi="宋体" w:cs="宋体"/>
                <w:sz w:val="18"/>
                <w:szCs w:val="18"/>
                <w:highlight w:val="none"/>
              </w:rPr>
              <w:t>成本指标</w:t>
            </w:r>
          </w:p>
        </w:tc>
        <w:tc>
          <w:tcPr>
            <w:tcW w:w="1258" w:type="dxa"/>
            <w:gridSpan w:val="2"/>
            <w:tcBorders>
              <w:top w:val="single" w:color="auto" w:sz="4" w:space="0"/>
              <w:left w:val="nil"/>
              <w:bottom w:val="single" w:color="auto" w:sz="4" w:space="0"/>
              <w:right w:val="single" w:color="auto" w:sz="4" w:space="0"/>
            </w:tcBorders>
            <w:vAlign w:val="center"/>
          </w:tcPr>
          <w:p w14:paraId="5B15EB04">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4CFEB34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7026C95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1C329A0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3C5C433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5021582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66654B3E">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5AC5D94D">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7DB3AF16">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1FE14F37">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2A8E0E69">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3132DDE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546F343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0A6BCAD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786BE14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6EE38B7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4E5D72A2">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47FA3EA0">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3BFDC60C">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26119FFE">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5C6A41CF">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345C8F3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09D159E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036B418C">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49038A5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32B0622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3DAB4AA2">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606A0AE5">
            <w:pPr>
              <w:spacing w:line="280" w:lineRule="exact"/>
              <w:rPr>
                <w:rFonts w:ascii="宋体" w:hAnsi="宋体" w:cs="宋体"/>
                <w:sz w:val="18"/>
                <w:szCs w:val="18"/>
                <w:highlight w:val="none"/>
              </w:rPr>
            </w:pPr>
          </w:p>
        </w:tc>
        <w:tc>
          <w:tcPr>
            <w:tcW w:w="960" w:type="dxa"/>
            <w:gridSpan w:val="2"/>
            <w:vMerge w:val="restart"/>
            <w:tcBorders>
              <w:top w:val="nil"/>
              <w:left w:val="single" w:color="auto" w:sz="4" w:space="0"/>
              <w:bottom w:val="single" w:color="auto" w:sz="4" w:space="0"/>
              <w:right w:val="single" w:color="auto" w:sz="4" w:space="0"/>
            </w:tcBorders>
            <w:vAlign w:val="center"/>
          </w:tcPr>
          <w:p w14:paraId="733B708A">
            <w:pPr>
              <w:spacing w:line="240" w:lineRule="exact"/>
              <w:jc w:val="center"/>
              <w:rPr>
                <w:rFonts w:ascii="宋体" w:hAnsi="宋体" w:cs="宋体"/>
                <w:sz w:val="18"/>
                <w:szCs w:val="18"/>
                <w:highlight w:val="none"/>
              </w:rPr>
            </w:pPr>
            <w:r>
              <w:rPr>
                <w:rFonts w:hint="eastAsia" w:ascii="宋体" w:hAnsi="宋体" w:cs="宋体"/>
                <w:sz w:val="18"/>
                <w:szCs w:val="18"/>
                <w:highlight w:val="none"/>
              </w:rPr>
              <w:t>效益指标（30）</w:t>
            </w:r>
          </w:p>
        </w:tc>
        <w:tc>
          <w:tcPr>
            <w:tcW w:w="1320" w:type="dxa"/>
            <w:gridSpan w:val="2"/>
            <w:vMerge w:val="restart"/>
            <w:tcBorders>
              <w:top w:val="nil"/>
              <w:left w:val="single" w:color="auto" w:sz="4" w:space="0"/>
              <w:bottom w:val="single" w:color="auto" w:sz="4" w:space="0"/>
              <w:right w:val="single" w:color="auto" w:sz="4" w:space="0"/>
            </w:tcBorders>
            <w:vAlign w:val="center"/>
          </w:tcPr>
          <w:p w14:paraId="1391019F">
            <w:pPr>
              <w:spacing w:line="240" w:lineRule="exact"/>
              <w:jc w:val="center"/>
              <w:rPr>
                <w:rFonts w:ascii="宋体" w:hAnsi="宋体" w:cs="宋体"/>
                <w:sz w:val="18"/>
                <w:szCs w:val="18"/>
                <w:highlight w:val="none"/>
              </w:rPr>
            </w:pPr>
            <w:r>
              <w:rPr>
                <w:rFonts w:hint="eastAsia" w:ascii="宋体" w:hAnsi="宋体" w:cs="宋体"/>
                <w:sz w:val="18"/>
                <w:szCs w:val="18"/>
                <w:highlight w:val="none"/>
              </w:rPr>
              <w:t>经济效益指标</w:t>
            </w:r>
          </w:p>
        </w:tc>
        <w:tc>
          <w:tcPr>
            <w:tcW w:w="1258" w:type="dxa"/>
            <w:gridSpan w:val="2"/>
            <w:tcBorders>
              <w:top w:val="single" w:color="auto" w:sz="4" w:space="0"/>
              <w:left w:val="nil"/>
              <w:bottom w:val="single" w:color="auto" w:sz="4" w:space="0"/>
              <w:right w:val="single" w:color="auto" w:sz="4" w:space="0"/>
            </w:tcBorders>
            <w:vAlign w:val="center"/>
          </w:tcPr>
          <w:p w14:paraId="68755052">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7D6218B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34C340A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627E14D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62D7292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1DE53D2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5BC362FA">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4C5F3CEE">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1BB23BE5">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6DC68B3F">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4CDF6573">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23B81D1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6559AE4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3EF069D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4CE733E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6BD2DF4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0292AF0D">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41EF3503">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7982666B">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3975BB59">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7AA8FC40">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6963F00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12AB1920">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3F1B9BA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0888AE3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4FB048A4">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68BA5A5E">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0C6C448F">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582D5A13">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14:paraId="6EAEF0FD">
            <w:pPr>
              <w:spacing w:line="240" w:lineRule="exact"/>
              <w:jc w:val="center"/>
              <w:rPr>
                <w:rFonts w:ascii="宋体" w:hAnsi="宋体" w:cs="宋体"/>
                <w:sz w:val="18"/>
                <w:szCs w:val="18"/>
                <w:highlight w:val="none"/>
              </w:rPr>
            </w:pPr>
            <w:r>
              <w:rPr>
                <w:rFonts w:hint="eastAsia" w:ascii="宋体" w:hAnsi="宋体" w:cs="宋体"/>
                <w:sz w:val="18"/>
                <w:szCs w:val="18"/>
                <w:highlight w:val="none"/>
              </w:rPr>
              <w:t>社会效益指标</w:t>
            </w:r>
          </w:p>
        </w:tc>
        <w:tc>
          <w:tcPr>
            <w:tcW w:w="1258" w:type="dxa"/>
            <w:gridSpan w:val="2"/>
            <w:tcBorders>
              <w:top w:val="single" w:color="auto" w:sz="4" w:space="0"/>
              <w:left w:val="nil"/>
              <w:bottom w:val="single" w:color="auto" w:sz="4" w:space="0"/>
              <w:right w:val="single" w:color="auto" w:sz="4" w:space="0"/>
            </w:tcBorders>
            <w:vAlign w:val="center"/>
          </w:tcPr>
          <w:p w14:paraId="7AD3C9E1">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54FD154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07E17F74">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29403C7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57E0AD4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0B8902D0">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1BD3E9BF">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5A61EE7">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1CD4A02A">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3AE2094C">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508AACEA">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556472B8">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3C4F3AA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5FF3E84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4D13E9A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231424B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7676DE41">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40CF5655">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72C69840">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7E3C7AFB">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3B62540A">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4DFBE13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10BA61D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3A343AC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5EF78F50">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18D5974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6065A7C5">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CEC6395">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6F9CA524">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14:paraId="77893DAA">
            <w:pPr>
              <w:spacing w:line="240" w:lineRule="exact"/>
              <w:jc w:val="center"/>
              <w:rPr>
                <w:rFonts w:ascii="宋体" w:hAnsi="宋体" w:cs="宋体"/>
                <w:sz w:val="18"/>
                <w:szCs w:val="18"/>
                <w:highlight w:val="none"/>
              </w:rPr>
            </w:pPr>
            <w:r>
              <w:rPr>
                <w:rFonts w:hint="eastAsia" w:ascii="宋体" w:hAnsi="宋体" w:cs="宋体"/>
                <w:sz w:val="18"/>
                <w:szCs w:val="18"/>
                <w:highlight w:val="none"/>
              </w:rPr>
              <w:t>生态效益指标</w:t>
            </w:r>
          </w:p>
        </w:tc>
        <w:tc>
          <w:tcPr>
            <w:tcW w:w="1258" w:type="dxa"/>
            <w:gridSpan w:val="2"/>
            <w:tcBorders>
              <w:top w:val="single" w:color="auto" w:sz="4" w:space="0"/>
              <w:left w:val="nil"/>
              <w:bottom w:val="single" w:color="auto" w:sz="4" w:space="0"/>
              <w:right w:val="single" w:color="auto" w:sz="4" w:space="0"/>
            </w:tcBorders>
            <w:vAlign w:val="center"/>
          </w:tcPr>
          <w:p w14:paraId="4BA7B497">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5C4B42E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7ABF3E7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17C53F8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2E213ED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527D602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1B910A40">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433DDFE6">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0B28514F">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7DE85787">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1AF00329">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73C7449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5AFDA67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51A11B1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6A1513D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20143C3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776AAFAA">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7BDD3CDC">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49397FC9">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58C56508">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2959EC61">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15915234">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325AC7AC">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550ABAEA">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6CAAB7E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17DC89F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13574ECC">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34AE3FF9">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6D0400F0">
            <w:pPr>
              <w:spacing w:line="240" w:lineRule="exact"/>
              <w:rPr>
                <w:rFonts w:ascii="宋体" w:hAnsi="宋体" w:cs="宋体"/>
                <w:sz w:val="18"/>
                <w:szCs w:val="18"/>
                <w:highlight w:val="none"/>
              </w:rPr>
            </w:pPr>
          </w:p>
        </w:tc>
        <w:tc>
          <w:tcPr>
            <w:tcW w:w="1320" w:type="dxa"/>
            <w:gridSpan w:val="2"/>
            <w:vMerge w:val="restart"/>
            <w:tcBorders>
              <w:top w:val="nil"/>
              <w:left w:val="single" w:color="auto" w:sz="4" w:space="0"/>
              <w:bottom w:val="single" w:color="auto" w:sz="4" w:space="0"/>
              <w:right w:val="single" w:color="auto" w:sz="4" w:space="0"/>
            </w:tcBorders>
            <w:vAlign w:val="center"/>
          </w:tcPr>
          <w:p w14:paraId="09814142">
            <w:pPr>
              <w:spacing w:line="240" w:lineRule="exact"/>
              <w:jc w:val="center"/>
              <w:rPr>
                <w:rFonts w:ascii="宋体" w:hAnsi="宋体" w:cs="宋体"/>
                <w:sz w:val="18"/>
                <w:szCs w:val="18"/>
                <w:highlight w:val="none"/>
              </w:rPr>
            </w:pPr>
            <w:r>
              <w:rPr>
                <w:rFonts w:hint="eastAsia" w:ascii="宋体" w:hAnsi="宋体" w:cs="宋体"/>
                <w:sz w:val="18"/>
                <w:szCs w:val="18"/>
                <w:highlight w:val="none"/>
              </w:rPr>
              <w:t>可持续影响</w:t>
            </w:r>
          </w:p>
          <w:p w14:paraId="49FA3E4C">
            <w:pPr>
              <w:spacing w:line="240" w:lineRule="exact"/>
              <w:jc w:val="center"/>
              <w:rPr>
                <w:rFonts w:ascii="宋体" w:hAnsi="宋体" w:cs="宋体"/>
                <w:sz w:val="18"/>
                <w:szCs w:val="18"/>
                <w:highlight w:val="none"/>
              </w:rPr>
            </w:pPr>
            <w:r>
              <w:rPr>
                <w:rFonts w:hint="eastAsia" w:ascii="宋体" w:hAnsi="宋体" w:cs="宋体"/>
                <w:sz w:val="18"/>
                <w:szCs w:val="18"/>
                <w:highlight w:val="none"/>
              </w:rPr>
              <w:t>指    标</w:t>
            </w:r>
          </w:p>
        </w:tc>
        <w:tc>
          <w:tcPr>
            <w:tcW w:w="1258" w:type="dxa"/>
            <w:gridSpan w:val="2"/>
            <w:tcBorders>
              <w:top w:val="single" w:color="auto" w:sz="4" w:space="0"/>
              <w:left w:val="nil"/>
              <w:bottom w:val="single" w:color="auto" w:sz="4" w:space="0"/>
              <w:right w:val="single" w:color="auto" w:sz="4" w:space="0"/>
            </w:tcBorders>
            <w:vAlign w:val="center"/>
          </w:tcPr>
          <w:p w14:paraId="7C0C4DAF">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3E4D5D6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62471398">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7CD0DDB0">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74CB32B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2796858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1F8E636A">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1E06944">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502C1137">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5E408153">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2E38D906">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2909EDF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79B1B81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08C6361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612BD26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4E997724">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797DBE2E">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735DDCFC">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7D119775">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61960F4D">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676CAB00">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4438437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1AC41DE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539D6734">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7A3C309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0386FC9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3CB60191">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4E12EFB1">
            <w:pPr>
              <w:spacing w:line="280" w:lineRule="exact"/>
              <w:rPr>
                <w:rFonts w:ascii="宋体" w:hAnsi="宋体" w:cs="宋体"/>
                <w:sz w:val="18"/>
                <w:szCs w:val="18"/>
                <w:highlight w:val="none"/>
              </w:rPr>
            </w:pPr>
          </w:p>
        </w:tc>
        <w:tc>
          <w:tcPr>
            <w:tcW w:w="960" w:type="dxa"/>
            <w:gridSpan w:val="2"/>
            <w:vMerge w:val="restart"/>
            <w:tcBorders>
              <w:top w:val="nil"/>
              <w:left w:val="single" w:color="auto" w:sz="4" w:space="0"/>
              <w:bottom w:val="single" w:color="auto" w:sz="4" w:space="0"/>
              <w:right w:val="single" w:color="auto" w:sz="4" w:space="0"/>
            </w:tcBorders>
            <w:vAlign w:val="center"/>
          </w:tcPr>
          <w:p w14:paraId="2FC5E5BF">
            <w:pPr>
              <w:spacing w:line="200" w:lineRule="exact"/>
              <w:jc w:val="center"/>
              <w:rPr>
                <w:rFonts w:ascii="宋体" w:hAnsi="宋体" w:cs="宋体"/>
                <w:sz w:val="18"/>
                <w:szCs w:val="18"/>
                <w:highlight w:val="none"/>
              </w:rPr>
            </w:pPr>
            <w:r>
              <w:rPr>
                <w:rFonts w:hint="eastAsia" w:ascii="宋体" w:hAnsi="宋体" w:cs="宋体"/>
                <w:sz w:val="18"/>
                <w:szCs w:val="18"/>
                <w:highlight w:val="none"/>
              </w:rPr>
              <w:t>满意度</w:t>
            </w:r>
          </w:p>
          <w:p w14:paraId="6B115799">
            <w:pPr>
              <w:spacing w:line="200" w:lineRule="exact"/>
              <w:jc w:val="center"/>
              <w:rPr>
                <w:rFonts w:ascii="宋体" w:hAnsi="宋体" w:cs="宋体"/>
                <w:sz w:val="18"/>
                <w:szCs w:val="18"/>
                <w:highlight w:val="none"/>
              </w:rPr>
            </w:pPr>
            <w:r>
              <w:rPr>
                <w:rFonts w:hint="eastAsia" w:ascii="宋体" w:hAnsi="宋体" w:cs="宋体"/>
                <w:sz w:val="18"/>
                <w:szCs w:val="18"/>
                <w:highlight w:val="none"/>
              </w:rPr>
              <w:t>指  标（10）</w:t>
            </w:r>
          </w:p>
        </w:tc>
        <w:tc>
          <w:tcPr>
            <w:tcW w:w="1320" w:type="dxa"/>
            <w:gridSpan w:val="2"/>
            <w:vMerge w:val="restart"/>
            <w:tcBorders>
              <w:top w:val="nil"/>
              <w:left w:val="single" w:color="auto" w:sz="4" w:space="0"/>
              <w:bottom w:val="single" w:color="auto" w:sz="4" w:space="0"/>
              <w:right w:val="single" w:color="auto" w:sz="4" w:space="0"/>
            </w:tcBorders>
            <w:vAlign w:val="center"/>
          </w:tcPr>
          <w:p w14:paraId="6203B7F2">
            <w:pPr>
              <w:spacing w:line="240" w:lineRule="exact"/>
              <w:jc w:val="center"/>
              <w:rPr>
                <w:rFonts w:ascii="宋体" w:hAnsi="宋体" w:cs="宋体"/>
                <w:sz w:val="18"/>
                <w:szCs w:val="18"/>
                <w:highlight w:val="none"/>
              </w:rPr>
            </w:pPr>
            <w:r>
              <w:rPr>
                <w:rFonts w:hint="eastAsia" w:ascii="宋体" w:hAnsi="宋体" w:cs="宋体"/>
                <w:sz w:val="18"/>
                <w:szCs w:val="18"/>
                <w:highlight w:val="none"/>
              </w:rPr>
              <w:t>服务对象</w:t>
            </w:r>
          </w:p>
          <w:p w14:paraId="29984994">
            <w:pPr>
              <w:spacing w:line="240" w:lineRule="exact"/>
              <w:jc w:val="center"/>
              <w:rPr>
                <w:rFonts w:ascii="宋体" w:hAnsi="宋体" w:cs="宋体"/>
                <w:sz w:val="18"/>
                <w:szCs w:val="18"/>
                <w:highlight w:val="none"/>
              </w:rPr>
            </w:pPr>
            <w:r>
              <w:rPr>
                <w:rFonts w:hint="eastAsia" w:ascii="宋体" w:hAnsi="宋体" w:cs="宋体"/>
                <w:sz w:val="18"/>
                <w:szCs w:val="18"/>
                <w:highlight w:val="none"/>
              </w:rPr>
              <w:t>满意度指标</w:t>
            </w:r>
          </w:p>
        </w:tc>
        <w:tc>
          <w:tcPr>
            <w:tcW w:w="1258" w:type="dxa"/>
            <w:gridSpan w:val="2"/>
            <w:tcBorders>
              <w:top w:val="single" w:color="auto" w:sz="4" w:space="0"/>
              <w:left w:val="nil"/>
              <w:bottom w:val="single" w:color="auto" w:sz="4" w:space="0"/>
              <w:right w:val="single" w:color="auto" w:sz="4" w:space="0"/>
            </w:tcBorders>
            <w:vAlign w:val="center"/>
          </w:tcPr>
          <w:p w14:paraId="76F2C120">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指标1：</w:t>
            </w:r>
          </w:p>
        </w:tc>
        <w:tc>
          <w:tcPr>
            <w:tcW w:w="778" w:type="dxa"/>
            <w:tcBorders>
              <w:top w:val="nil"/>
              <w:left w:val="nil"/>
              <w:bottom w:val="single" w:color="auto" w:sz="4" w:space="0"/>
              <w:right w:val="single" w:color="auto" w:sz="4" w:space="0"/>
            </w:tcBorders>
            <w:vAlign w:val="center"/>
          </w:tcPr>
          <w:p w14:paraId="46AC64F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21BBE5E2">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75DF5971">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5B3D1CBE">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16EB201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2563DC7B">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3AE672DC">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49CB38F7">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1C8952CC">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11C4A5F6">
            <w:pPr>
              <w:spacing w:line="240" w:lineRule="exact"/>
              <w:rPr>
                <w:rFonts w:ascii="宋体" w:hAnsi="宋体" w:cs="宋体"/>
                <w:color w:val="000000"/>
                <w:sz w:val="18"/>
                <w:szCs w:val="18"/>
                <w:highlight w:val="none"/>
              </w:rPr>
            </w:pPr>
            <w:r>
              <w:rPr>
                <w:rFonts w:hint="eastAsia" w:ascii="宋体" w:hAnsi="宋体" w:cs="宋体"/>
                <w:color w:val="000000"/>
                <w:sz w:val="18"/>
                <w:szCs w:val="18"/>
                <w:highlight w:val="none"/>
              </w:rPr>
              <w:t>指标2：</w:t>
            </w:r>
          </w:p>
        </w:tc>
        <w:tc>
          <w:tcPr>
            <w:tcW w:w="778" w:type="dxa"/>
            <w:tcBorders>
              <w:top w:val="nil"/>
              <w:left w:val="nil"/>
              <w:bottom w:val="single" w:color="auto" w:sz="4" w:space="0"/>
              <w:right w:val="single" w:color="auto" w:sz="4" w:space="0"/>
            </w:tcBorders>
            <w:vAlign w:val="center"/>
          </w:tcPr>
          <w:p w14:paraId="55A2C08F">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7951AF68">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1C11BB69">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09D0155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343F44FD">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3D8D3B45">
        <w:tblPrEx>
          <w:tblCellMar>
            <w:top w:w="0" w:type="dxa"/>
            <w:left w:w="108" w:type="dxa"/>
            <w:bottom w:w="0" w:type="dxa"/>
            <w:right w:w="108" w:type="dxa"/>
          </w:tblCellMar>
        </w:tblPrEx>
        <w:trPr>
          <w:trHeight w:val="284" w:hRule="exact"/>
          <w:jc w:val="center"/>
        </w:trPr>
        <w:tc>
          <w:tcPr>
            <w:tcW w:w="844" w:type="dxa"/>
            <w:vMerge w:val="continue"/>
            <w:tcBorders>
              <w:top w:val="nil"/>
              <w:left w:val="single" w:color="auto" w:sz="4" w:space="0"/>
              <w:bottom w:val="single" w:color="auto" w:sz="4" w:space="0"/>
              <w:right w:val="single" w:color="auto" w:sz="4" w:space="0"/>
            </w:tcBorders>
            <w:vAlign w:val="center"/>
          </w:tcPr>
          <w:p w14:paraId="2F4B1B50">
            <w:pPr>
              <w:spacing w:line="280" w:lineRule="exact"/>
              <w:rPr>
                <w:rFonts w:ascii="宋体" w:hAnsi="宋体" w:cs="宋体"/>
                <w:sz w:val="18"/>
                <w:szCs w:val="18"/>
                <w:highlight w:val="none"/>
              </w:rPr>
            </w:pPr>
          </w:p>
        </w:tc>
        <w:tc>
          <w:tcPr>
            <w:tcW w:w="960" w:type="dxa"/>
            <w:gridSpan w:val="2"/>
            <w:vMerge w:val="continue"/>
            <w:tcBorders>
              <w:top w:val="nil"/>
              <w:left w:val="single" w:color="auto" w:sz="4" w:space="0"/>
              <w:bottom w:val="single" w:color="auto" w:sz="4" w:space="0"/>
              <w:right w:val="single" w:color="auto" w:sz="4" w:space="0"/>
            </w:tcBorders>
            <w:vAlign w:val="center"/>
          </w:tcPr>
          <w:p w14:paraId="7304A414">
            <w:pPr>
              <w:spacing w:line="240" w:lineRule="exact"/>
              <w:rPr>
                <w:rFonts w:ascii="宋体" w:hAnsi="宋体" w:cs="宋体"/>
                <w:sz w:val="18"/>
                <w:szCs w:val="18"/>
                <w:highlight w:val="none"/>
              </w:rPr>
            </w:pPr>
          </w:p>
        </w:tc>
        <w:tc>
          <w:tcPr>
            <w:tcW w:w="1320" w:type="dxa"/>
            <w:gridSpan w:val="2"/>
            <w:vMerge w:val="continue"/>
            <w:tcBorders>
              <w:top w:val="nil"/>
              <w:left w:val="single" w:color="auto" w:sz="4" w:space="0"/>
              <w:bottom w:val="single" w:color="auto" w:sz="4" w:space="0"/>
              <w:right w:val="single" w:color="auto" w:sz="4" w:space="0"/>
            </w:tcBorders>
            <w:vAlign w:val="center"/>
          </w:tcPr>
          <w:p w14:paraId="09920995">
            <w:pPr>
              <w:spacing w:line="240" w:lineRule="exact"/>
              <w:rPr>
                <w:rFonts w:ascii="宋体" w:hAnsi="宋体" w:cs="宋体"/>
                <w:sz w:val="18"/>
                <w:szCs w:val="18"/>
                <w:highlight w:val="none"/>
              </w:rPr>
            </w:pPr>
          </w:p>
        </w:tc>
        <w:tc>
          <w:tcPr>
            <w:tcW w:w="1258" w:type="dxa"/>
            <w:gridSpan w:val="2"/>
            <w:tcBorders>
              <w:top w:val="single" w:color="auto" w:sz="4" w:space="0"/>
              <w:left w:val="nil"/>
              <w:bottom w:val="single" w:color="auto" w:sz="4" w:space="0"/>
              <w:right w:val="single" w:color="auto" w:sz="4" w:space="0"/>
            </w:tcBorders>
            <w:vAlign w:val="center"/>
          </w:tcPr>
          <w:p w14:paraId="3E4AFFEA">
            <w:pPr>
              <w:spacing w:line="240" w:lineRule="exact"/>
              <w:rPr>
                <w:rFonts w:hint="eastAsia" w:ascii="宋体" w:hAnsi="宋体" w:eastAsia="宋体" w:cs="宋体"/>
                <w:color w:val="000000"/>
                <w:sz w:val="18"/>
                <w:szCs w:val="18"/>
                <w:highlight w:val="none"/>
                <w:lang w:eastAsia="zh-CN"/>
              </w:rPr>
            </w:pPr>
            <w:r>
              <w:rPr>
                <w:rFonts w:hint="eastAsia" w:ascii="仿宋_GB2312" w:hAnsi="仿宋_GB2312" w:eastAsia="宋体" w:cs="宋体"/>
                <w:color w:val="000000"/>
                <w:sz w:val="18"/>
                <w:szCs w:val="18"/>
                <w:highlight w:val="none"/>
                <w:lang w:eastAsia="zh-CN"/>
              </w:rPr>
              <w:t>……</w:t>
            </w:r>
          </w:p>
        </w:tc>
        <w:tc>
          <w:tcPr>
            <w:tcW w:w="778" w:type="dxa"/>
            <w:tcBorders>
              <w:top w:val="nil"/>
              <w:left w:val="nil"/>
              <w:bottom w:val="single" w:color="auto" w:sz="4" w:space="0"/>
              <w:right w:val="single" w:color="auto" w:sz="4" w:space="0"/>
            </w:tcBorders>
            <w:vAlign w:val="center"/>
          </w:tcPr>
          <w:p w14:paraId="04E76293">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779" w:type="dxa"/>
            <w:tcBorders>
              <w:top w:val="nil"/>
              <w:left w:val="nil"/>
              <w:bottom w:val="single" w:color="auto" w:sz="4" w:space="0"/>
              <w:right w:val="single" w:color="auto" w:sz="4" w:space="0"/>
            </w:tcBorders>
            <w:vAlign w:val="center"/>
          </w:tcPr>
          <w:p w14:paraId="1CAA63A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54" w:type="dxa"/>
            <w:gridSpan w:val="2"/>
            <w:tcBorders>
              <w:top w:val="nil"/>
              <w:left w:val="nil"/>
              <w:bottom w:val="single" w:color="auto" w:sz="4" w:space="0"/>
              <w:right w:val="single" w:color="auto" w:sz="4" w:space="0"/>
            </w:tcBorders>
            <w:vAlign w:val="center"/>
          </w:tcPr>
          <w:p w14:paraId="6EAA0465">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630" w:type="dxa"/>
            <w:gridSpan w:val="2"/>
            <w:tcBorders>
              <w:top w:val="nil"/>
              <w:left w:val="nil"/>
              <w:bottom w:val="single" w:color="auto" w:sz="4" w:space="0"/>
              <w:right w:val="single" w:color="auto" w:sz="4" w:space="0"/>
            </w:tcBorders>
            <w:vAlign w:val="center"/>
          </w:tcPr>
          <w:p w14:paraId="4A3F8F6B">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734C3F47">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r w14:paraId="61701026">
        <w:tblPrEx>
          <w:tblCellMar>
            <w:top w:w="0" w:type="dxa"/>
            <w:left w:w="108" w:type="dxa"/>
            <w:bottom w:w="0" w:type="dxa"/>
            <w:right w:w="108" w:type="dxa"/>
          </w:tblCellMar>
        </w:tblPrEx>
        <w:trPr>
          <w:trHeight w:val="284" w:hRule="atLeast"/>
          <w:jc w:val="center"/>
        </w:trPr>
        <w:tc>
          <w:tcPr>
            <w:tcW w:w="5939" w:type="dxa"/>
            <w:gridSpan w:val="9"/>
            <w:tcBorders>
              <w:top w:val="single" w:color="auto" w:sz="4" w:space="0"/>
              <w:left w:val="single" w:color="auto" w:sz="4" w:space="0"/>
              <w:bottom w:val="single" w:color="auto" w:sz="4" w:space="0"/>
              <w:right w:val="single" w:color="auto" w:sz="4" w:space="0"/>
            </w:tcBorders>
            <w:vAlign w:val="center"/>
          </w:tcPr>
          <w:p w14:paraId="3F865A9F">
            <w:pPr>
              <w:spacing w:line="24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总    分</w:t>
            </w:r>
          </w:p>
        </w:tc>
        <w:tc>
          <w:tcPr>
            <w:tcW w:w="654" w:type="dxa"/>
            <w:gridSpan w:val="2"/>
            <w:tcBorders>
              <w:top w:val="nil"/>
              <w:left w:val="nil"/>
              <w:bottom w:val="single" w:color="auto" w:sz="4" w:space="0"/>
              <w:right w:val="single" w:color="auto" w:sz="4" w:space="0"/>
            </w:tcBorders>
            <w:vAlign w:val="center"/>
          </w:tcPr>
          <w:p w14:paraId="4FD6101B">
            <w:pPr>
              <w:spacing w:line="24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100</w:t>
            </w:r>
          </w:p>
        </w:tc>
        <w:tc>
          <w:tcPr>
            <w:tcW w:w="630" w:type="dxa"/>
            <w:gridSpan w:val="2"/>
            <w:tcBorders>
              <w:top w:val="nil"/>
              <w:left w:val="nil"/>
              <w:bottom w:val="single" w:color="auto" w:sz="4" w:space="0"/>
              <w:right w:val="single" w:color="auto" w:sz="4" w:space="0"/>
            </w:tcBorders>
            <w:vAlign w:val="center"/>
          </w:tcPr>
          <w:p w14:paraId="789A78AB">
            <w:pPr>
              <w:spacing w:line="24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　</w:t>
            </w:r>
          </w:p>
        </w:tc>
        <w:tc>
          <w:tcPr>
            <w:tcW w:w="1622" w:type="dxa"/>
            <w:gridSpan w:val="2"/>
            <w:tcBorders>
              <w:top w:val="single" w:color="auto" w:sz="4" w:space="0"/>
              <w:left w:val="nil"/>
              <w:bottom w:val="single" w:color="auto" w:sz="4" w:space="0"/>
              <w:right w:val="single" w:color="auto" w:sz="4" w:space="0"/>
            </w:tcBorders>
            <w:vAlign w:val="center"/>
          </w:tcPr>
          <w:p w14:paraId="63F95AF6">
            <w:pPr>
              <w:spacing w:line="240" w:lineRule="exact"/>
              <w:jc w:val="center"/>
              <w:rPr>
                <w:rFonts w:ascii="宋体" w:hAnsi="宋体" w:cs="宋体"/>
                <w:sz w:val="18"/>
                <w:szCs w:val="18"/>
                <w:highlight w:val="none"/>
              </w:rPr>
            </w:pPr>
            <w:r>
              <w:rPr>
                <w:rFonts w:hint="eastAsia" w:ascii="宋体" w:hAnsi="宋体" w:cs="宋体"/>
                <w:sz w:val="18"/>
                <w:szCs w:val="18"/>
                <w:highlight w:val="none"/>
              </w:rPr>
              <w:t>　</w:t>
            </w:r>
          </w:p>
        </w:tc>
      </w:tr>
    </w:tbl>
    <w:p w14:paraId="075AD7CF">
      <w:pPr>
        <w:pStyle w:val="2"/>
        <w:ind w:left="0" w:leftChars="0" w:firstLine="0"/>
        <w:rPr>
          <w:rFonts w:hint="default"/>
          <w:highlight w:val="none"/>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E49303C-CD54-42F8-9650-9F761CEDD4D4}"/>
  </w:font>
  <w:font w:name="黑体">
    <w:panose1 w:val="02010609060101010101"/>
    <w:charset w:val="86"/>
    <w:family w:val="auto"/>
    <w:pitch w:val="default"/>
    <w:sig w:usb0="800002BF" w:usb1="38CF7CFA" w:usb2="00000016" w:usb3="00000000" w:csb0="00040001" w:csb1="00000000"/>
    <w:embedRegular r:id="rId2" w:fontKey="{54BD8991-B374-401F-A4D1-A67288A4F0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2449959F-89C0-4FF7-A16B-A7B0D869DE46}"/>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2D1AF0BD-ADC8-4D50-B3DD-19C978C62ADA}"/>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大标宋简体">
    <w:panose1 w:val="02000000000000000000"/>
    <w:charset w:val="86"/>
    <w:family w:val="auto"/>
    <w:pitch w:val="default"/>
    <w:sig w:usb0="A00002BF" w:usb1="184F6CFA" w:usb2="00000012" w:usb3="00000000" w:csb0="00040001" w:csb1="00000000"/>
    <w:embedRegular r:id="rId5" w:fontKey="{8FDCB634-7B88-4CC9-A79A-B9131B5EF0A2}"/>
  </w:font>
  <w:font w:name="Times New Roman (正文 CS 字体)">
    <w:altName w:val="宋体"/>
    <w:panose1 w:val="00000000000000000000"/>
    <w:charset w:val="86"/>
    <w:family w:val="roman"/>
    <w:pitch w:val="default"/>
    <w:sig w:usb0="00000000" w:usb1="00000000" w:usb2="00000000" w:usb3="00000000" w:csb0="00000000" w:csb1="00000000"/>
    <w:embedRegular r:id="rId6" w:fontKey="{D8A38E61-6F06-4172-9436-FDEF994AC977}"/>
  </w:font>
  <w:font w:name="仿宋">
    <w:panose1 w:val="02010609060101010101"/>
    <w:charset w:val="86"/>
    <w:family w:val="modern"/>
    <w:pitch w:val="default"/>
    <w:sig w:usb0="800002BF" w:usb1="38CF7CFA" w:usb2="00000016" w:usb3="00000000" w:csb0="00040001" w:csb1="00000000"/>
    <w:embedRegular r:id="rId7" w:fontKey="{D67B995E-7DA3-4513-A814-3EC815439BF9}"/>
  </w:font>
  <w:font w:name="方正小标宋简体">
    <w:panose1 w:val="03000509000000000000"/>
    <w:charset w:val="86"/>
    <w:family w:val="auto"/>
    <w:pitch w:val="default"/>
    <w:sig w:usb0="00000001" w:usb1="080E0000" w:usb2="00000000" w:usb3="00000000" w:csb0="00040000" w:csb1="00000000"/>
    <w:embedRegular r:id="rId8" w:fontKey="{C66A141F-1747-4885-99B0-0BD031B62A8D}"/>
  </w:font>
  <w:font w:name="楷体">
    <w:panose1 w:val="02010609060101010101"/>
    <w:charset w:val="86"/>
    <w:family w:val="modern"/>
    <w:pitch w:val="default"/>
    <w:sig w:usb0="800002BF" w:usb1="38CF7CFA" w:usb2="00000016" w:usb3="00000000" w:csb0="00040001" w:csb1="00000000"/>
    <w:embedRegular r:id="rId9" w:fontKey="{1661ECBA-F2E5-4A79-99E5-260DABB56DDE}"/>
  </w:font>
  <w:font w:name="华文中宋">
    <w:panose1 w:val="02010600040101010101"/>
    <w:charset w:val="86"/>
    <w:family w:val="auto"/>
    <w:pitch w:val="default"/>
    <w:sig w:usb0="00000287" w:usb1="080F0000" w:usb2="00000000" w:usb3="00000000" w:csb0="0004009F" w:csb1="DFD70000"/>
    <w:embedRegular r:id="rId10" w:fontKey="{9324BEE9-23A2-413D-BA4C-CCC9C4BFD2A5}"/>
  </w:font>
  <w:font w:name="楷体_GB2312">
    <w:panose1 w:val="02010609030101010101"/>
    <w:charset w:val="86"/>
    <w:family w:val="modern"/>
    <w:pitch w:val="default"/>
    <w:sig w:usb0="00000001" w:usb1="080E0000" w:usb2="00000000" w:usb3="00000000" w:csb0="00040000" w:csb1="00000000"/>
    <w:embedRegular r:id="rId11" w:fontKey="{AB74CE77-83F8-4C6C-BFC4-63C90A1B4057}"/>
  </w:font>
  <w:font w:name="方正楷体简体">
    <w:panose1 w:val="02000000000000000000"/>
    <w:charset w:val="86"/>
    <w:family w:val="auto"/>
    <w:pitch w:val="default"/>
    <w:sig w:usb0="A00002BF" w:usb1="184F6CFA" w:usb2="00000012" w:usb3="00000000" w:csb0="00040001" w:csb1="00000000"/>
    <w:embedRegular r:id="rId12" w:fontKey="{E6C049F9-C59C-4DFC-BF45-928366CC84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E197A">
    <w:pPr>
      <w:pStyle w:val="13"/>
      <w:jc w:val="center"/>
    </w:pPr>
  </w:p>
  <w:p w14:paraId="4708AA87">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2373">
    <w:pPr>
      <w:pStyle w:val="13"/>
      <w:jc w:val="center"/>
    </w:pPr>
  </w:p>
  <w:p w14:paraId="4153F70F">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BBAF9">
    <w:pPr>
      <w:pStyle w:val="13"/>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5655" cy="3517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B801B">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outside;mso-position-horizontal-relative:margin;z-index:251659264;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mQX1DECAABVBAAADgAAAAAAAAABACAAAAAjAQAAZHJzL2Uyb0RvYy54bWxQ&#10;SwUGAAAAAAYABgBZAQAAxgUAAAAA&#10;">
              <v:fill on="f" focussize="0,0"/>
              <v:stroke on="f" weight="0.5pt"/>
              <v:imagedata o:title=""/>
              <o:lock v:ext="edit" aspectratio="f"/>
              <v:textbox inset="0mm,0mm,0mm,0mm">
                <w:txbxContent>
                  <w:p w14:paraId="5B6B801B">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71452FB9">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C4FC">
    <w:pPr>
      <w:pStyle w:val="13"/>
      <w:jc w:val="center"/>
    </w:pPr>
    <w:r>
      <mc:AlternateContent>
        <mc:Choice Requires="wps">
          <w:drawing>
            <wp:anchor distT="0" distB="0" distL="114300" distR="114300" simplePos="0" relativeHeight="251663360"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B7394">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3360;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650B7394">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068582FD">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F8E79">
    <w:pPr>
      <w:pStyle w:val="1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3D75BB">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- 37 -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0288;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2gtGXDECAABVBAAADgAAAAAAAAABACAAAAAjAQAAZHJzL2Uyb0RvYy54bWxQ&#10;SwUGAAAAAAYABgBZAQAAxgUAAAAA&#10;">
              <v:fill on="f" focussize="0,0"/>
              <v:stroke on="f" weight="0.5pt"/>
              <v:imagedata o:title=""/>
              <o:lock v:ext="edit" aspectratio="f"/>
              <v:textbox inset="0mm,0mm,0mm,0mm">
                <w:txbxContent>
                  <w:p w14:paraId="0B3D75BB">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- 37 -</w:t>
                    </w:r>
                    <w:r>
                      <w:rPr>
                        <w:sz w:val="24"/>
                        <w:szCs w:val="24"/>
                      </w:rPr>
                      <w:fldChar w:fldCharType="end"/>
                    </w:r>
                  </w:p>
                </w:txbxContent>
              </v:textbox>
            </v:shape>
          </w:pict>
        </mc:Fallback>
      </mc:AlternateContent>
    </w:r>
  </w:p>
  <w:p w14:paraId="17B67CC3">
    <w:pPr>
      <w:pStyle w:val="1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69B9F">
    <w:pPr>
      <w:pStyle w:val="1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316141">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1312;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hw6XZ9QAAAAEAQAADwAAAAAAAAABACAAAAAiAAAAZHJzL2Rvd25yZXYueG1sUEsB&#10;AhQAFAAAAAgAh07iQHAJElMyAgAAVQQAAA4AAAAAAAAAAQAgAAAAIwEAAGRycy9lMm9Eb2MueG1s&#10;UEsFBgAAAAAGAAYAWQEAAMcFAAAAAA==&#10;">
              <v:fill on="f" focussize="0,0"/>
              <v:stroke on="f" weight="0.5pt"/>
              <v:imagedata o:title=""/>
              <o:lock v:ext="edit" aspectratio="f"/>
              <v:textbox inset="0mm,0mm,0mm,0mm">
                <w:txbxContent>
                  <w:p w14:paraId="23316141">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- 40 -</w:t>
                    </w:r>
                    <w:r>
                      <w:rPr>
                        <w:sz w:val="24"/>
                        <w:szCs w:val="24"/>
                      </w:rPr>
                      <w:fldChar w:fldCharType="end"/>
                    </w:r>
                  </w:p>
                </w:txbxContent>
              </v:textbox>
            </v:shape>
          </w:pict>
        </mc:Fallback>
      </mc:AlternateContent>
    </w:r>
  </w:p>
  <w:p w14:paraId="6E85450D">
    <w:pPr>
      <w:pStyle w:val="1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B69E6">
    <w:pPr>
      <w:pStyle w:val="13"/>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6366DD">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2336;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14:paraId="306366DD">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14:paraId="78D54F23">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4A3F2">
    <w:pPr>
      <w:ind w:left="6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A95A7">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E5D7F9"/>
    <w:multiLevelType w:val="singleLevel"/>
    <w:tmpl w:val="CCE5D7F9"/>
    <w:lvl w:ilvl="0" w:tentative="0">
      <w:start w:val="1"/>
      <w:numFmt w:val="chineseCounting"/>
      <w:suff w:val="nothing"/>
      <w:lvlText w:val="（%1）"/>
      <w:lvlJc w:val="left"/>
      <w:pPr>
        <w:ind w:left="-10"/>
      </w:pPr>
      <w:rPr>
        <w:rFonts w:hint="eastAsia"/>
      </w:rPr>
    </w:lvl>
  </w:abstractNum>
  <w:abstractNum w:abstractNumId="1">
    <w:nsid w:val="112E81F1"/>
    <w:multiLevelType w:val="singleLevel"/>
    <w:tmpl w:val="112E81F1"/>
    <w:lvl w:ilvl="0" w:tentative="0">
      <w:start w:val="14"/>
      <w:numFmt w:val="chineseCounting"/>
      <w:suff w:val="space"/>
      <w:lvlText w:val="第%1条"/>
      <w:lvlJc w:val="left"/>
      <w:rPr>
        <w:rFonts w:hint="eastAsia"/>
      </w:rPr>
    </w:lvl>
  </w:abstractNum>
  <w:abstractNum w:abstractNumId="2">
    <w:nsid w:val="3265B7C3"/>
    <w:multiLevelType w:val="singleLevel"/>
    <w:tmpl w:val="3265B7C3"/>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3F0E27"/>
    <w:rsid w:val="0C63073D"/>
    <w:rsid w:val="0C7318E1"/>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B4551DF"/>
    <w:rsid w:val="6B9E2823"/>
    <w:rsid w:val="6BC935EB"/>
    <w:rsid w:val="6C1D59BA"/>
    <w:rsid w:val="6C992C34"/>
    <w:rsid w:val="6CA95923"/>
    <w:rsid w:val="6CDF45CD"/>
    <w:rsid w:val="6D7418A4"/>
    <w:rsid w:val="6D756958"/>
    <w:rsid w:val="6E3B0A20"/>
    <w:rsid w:val="70227EC6"/>
    <w:rsid w:val="7059602B"/>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D07233B"/>
    <w:rsid w:val="7D1B6488"/>
    <w:rsid w:val="7D40391F"/>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before="340" w:after="330" w:line="576" w:lineRule="auto"/>
      <w:outlineLvl w:val="0"/>
    </w:pPr>
    <w:rPr>
      <w:b/>
      <w:kern w:val="44"/>
      <w:sz w:val="44"/>
    </w:rPr>
  </w:style>
  <w:style w:type="paragraph" w:styleId="5">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6">
    <w:name w:val="heading 3"/>
    <w:basedOn w:val="1"/>
    <w:next w:val="1"/>
    <w:unhideWhenUsed/>
    <w:qFormat/>
    <w:uiPriority w:val="1"/>
    <w:pPr>
      <w:keepNext/>
      <w:keepLines/>
      <w:spacing w:before="260" w:after="260" w:line="413" w:lineRule="auto"/>
      <w:outlineLvl w:val="2"/>
    </w:pPr>
    <w:rPr>
      <w:b/>
      <w:sz w:val="32"/>
    </w:rPr>
  </w:style>
  <w:style w:type="paragraph" w:styleId="7">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9">
    <w:name w:val="Normal Indent"/>
    <w:basedOn w:val="1"/>
    <w:next w:val="10"/>
    <w:qFormat/>
    <w:uiPriority w:val="0"/>
    <w:pPr>
      <w:spacing w:line="360" w:lineRule="auto"/>
      <w:ind w:firstLine="420" w:firstLineChars="200"/>
      <w:jc w:val="left"/>
    </w:pPr>
    <w:rPr>
      <w:rFonts w:ascii="仿宋_GB2312" w:hAnsi="Arial" w:eastAsia="仿宋_GB2312"/>
      <w:kern w:val="0"/>
      <w:sz w:val="30"/>
      <w:szCs w:val="30"/>
    </w:rPr>
  </w:style>
  <w:style w:type="paragraph" w:styleId="10">
    <w:name w:val="Body Text"/>
    <w:basedOn w:val="1"/>
    <w:link w:val="34"/>
    <w:unhideWhenUsed/>
    <w:qFormat/>
    <w:uiPriority w:val="1"/>
    <w:pPr>
      <w:spacing w:after="120"/>
    </w:pPr>
  </w:style>
  <w:style w:type="paragraph" w:styleId="11">
    <w:name w:val="annotation text"/>
    <w:basedOn w:val="1"/>
    <w:link w:val="26"/>
    <w:unhideWhenUsed/>
    <w:qFormat/>
    <w:uiPriority w:val="99"/>
    <w:pPr>
      <w:jc w:val="left"/>
    </w:pPr>
  </w:style>
  <w:style w:type="paragraph" w:styleId="12">
    <w:name w:val="Balloon Text"/>
    <w:basedOn w:val="1"/>
    <w:link w:val="36"/>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6">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7">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8">
    <w:name w:val="annotation subject"/>
    <w:basedOn w:val="11"/>
    <w:next w:val="11"/>
    <w:link w:val="27"/>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character" w:customStyle="1" w:styleId="26">
    <w:name w:val="批注文字 Char"/>
    <w:basedOn w:val="21"/>
    <w:link w:val="11"/>
    <w:qFormat/>
    <w:uiPriority w:val="99"/>
    <w:rPr>
      <w:rFonts w:ascii="Times New Roman" w:hAnsi="Times New Roman" w:eastAsia="Courier New" w:cs="Times New Roman"/>
      <w:szCs w:val="21"/>
    </w:rPr>
  </w:style>
  <w:style w:type="character" w:customStyle="1" w:styleId="27">
    <w:name w:val="批注主题 Char"/>
    <w:basedOn w:val="26"/>
    <w:link w:val="18"/>
    <w:semiHidden/>
    <w:qFormat/>
    <w:uiPriority w:val="99"/>
    <w:rPr>
      <w:rFonts w:ascii="Times New Roman" w:hAnsi="Times New Roman" w:eastAsia="Courier New" w:cs="Times New Roman"/>
      <w:b/>
      <w:bCs/>
      <w:szCs w:val="21"/>
    </w:rPr>
  </w:style>
  <w:style w:type="paragraph" w:customStyle="1" w:styleId="28">
    <w:name w:val="独立格式"/>
    <w:basedOn w:val="16"/>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6"/>
    <w:qFormat/>
    <w:uiPriority w:val="11"/>
    <w:rPr>
      <w:b/>
      <w:bCs/>
      <w:kern w:val="28"/>
      <w:sz w:val="32"/>
      <w:szCs w:val="32"/>
    </w:rPr>
  </w:style>
  <w:style w:type="character" w:customStyle="1" w:styleId="30">
    <w:name w:val="标题 2 Char"/>
    <w:basedOn w:val="21"/>
    <w:link w:val="5"/>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8"/>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10"/>
    <w:semiHidden/>
    <w:qFormat/>
    <w:uiPriority w:val="99"/>
    <w:rPr>
      <w:rFonts w:ascii="Times New Roman" w:hAnsi="Times New Roman" w:eastAsia="Courier New" w:cs="Times New Roman"/>
      <w:szCs w:val="21"/>
    </w:rPr>
  </w:style>
  <w:style w:type="character" w:customStyle="1" w:styleId="35">
    <w:name w:val="标题 4 Char"/>
    <w:basedOn w:val="21"/>
    <w:link w:val="7"/>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2"/>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29E26-31F3-4BA1-BD0C-4D6E10719482}">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12572</Words>
  <Characters>12790</Characters>
  <Lines>246</Lines>
  <Paragraphs>69</Paragraphs>
  <TotalTime>18</TotalTime>
  <ScaleCrop>false</ScaleCrop>
  <LinksUpToDate>false</LinksUpToDate>
  <CharactersWithSpaces>13834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贝</cp:lastModifiedBy>
  <cp:lastPrinted>2023-01-16T08:04:00Z</cp:lastPrinted>
  <dcterms:modified xsi:type="dcterms:W3CDTF">2025-01-17T08:54:13Z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CE0D94FC91C24C1CAE9E20133137530F_13</vt:lpwstr>
  </property>
  <property fmtid="{D5CDD505-2E9C-101B-9397-08002B2CF9AE}" pid="4" name="KSOTemplateDocerSaveRecord">
    <vt:lpwstr>eyJoZGlkIjoiNjA3YzUxOGMxMTRmM2RmZDE2ZDAyZWQyNzIxOTIzMmUiLCJ1c2VySWQiOiI3NDc4MDY2NDYifQ==</vt:lpwstr>
  </property>
</Properties>
</file>